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6669"/>
        </w:tabs>
        <w:ind w:left="198"/>
        <w:jc w:val="both"/>
        <w:rPr>
          <w:rFonts w:hint="eastAsia" w:eastAsia="仿宋_GB2312"/>
          <w:b w:val="0"/>
          <w:bCs/>
          <w:highlight w:val="none"/>
          <w:lang w:val="en-US" w:eastAsia="zh-CN"/>
        </w:rPr>
      </w:pPr>
      <w:r>
        <w:rPr>
          <w:rFonts w:hint="eastAsia" w:ascii="仿宋_GB2312" w:eastAsia="仿宋_GB2312"/>
          <w:b w:val="0"/>
          <w:bCs/>
          <w:sz w:val="32"/>
          <w:szCs w:val="32"/>
          <w:highlight w:val="none"/>
        </w:rPr>
        <w:t>附件</w:t>
      </w:r>
      <w:r>
        <w:rPr>
          <w:rFonts w:hint="eastAsia" w:ascii="仿宋_GB2312" w:eastAsia="仿宋_GB2312"/>
          <w:b w:val="0"/>
          <w:bCs/>
          <w:sz w:val="32"/>
          <w:szCs w:val="32"/>
          <w:highlight w:val="none"/>
          <w:lang w:val="en-US" w:eastAsia="zh-CN"/>
        </w:rPr>
        <w:t>2</w:t>
      </w:r>
    </w:p>
    <w:p>
      <w:pPr>
        <w:pStyle w:val="4"/>
        <w:tabs>
          <w:tab w:val="left" w:pos="6669"/>
        </w:tabs>
        <w:ind w:left="198"/>
        <w:jc w:val="center"/>
        <w:rPr>
          <w:rFonts w:hint="eastAsia" w:eastAsia="宋体"/>
          <w:highlight w:val="none"/>
          <w:lang w:val="en-US" w:eastAsia="zh-CN"/>
        </w:rPr>
      </w:pPr>
      <w:bookmarkStart w:id="0" w:name="_GoBack"/>
      <w:bookmarkEnd w:id="0"/>
    </w:p>
    <w:p>
      <w:pPr>
        <w:pStyle w:val="4"/>
        <w:tabs>
          <w:tab w:val="left" w:pos="6669"/>
        </w:tabs>
        <w:ind w:left="198"/>
        <w:jc w:val="center"/>
        <w:rPr>
          <w:rFonts w:hint="eastAsia" w:eastAsia="宋体"/>
          <w:highlight w:val="none"/>
          <w:lang w:val="en-US" w:eastAsia="zh-CN"/>
        </w:rPr>
      </w:pPr>
    </w:p>
    <w:p>
      <w:pPr>
        <w:pStyle w:val="4"/>
        <w:tabs>
          <w:tab w:val="left" w:pos="6669"/>
        </w:tabs>
        <w:ind w:left="198"/>
        <w:jc w:val="center"/>
        <w:rPr>
          <w:highlight w:val="none"/>
        </w:rPr>
      </w:pPr>
      <w:r>
        <w:rPr>
          <w:rFonts w:hint="eastAsia" w:eastAsia="宋体"/>
          <w:highlight w:val="none"/>
          <w:lang w:val="en-US" w:eastAsia="zh-CN"/>
        </w:rPr>
        <w:t>XX</w:t>
      </w:r>
      <w:r>
        <w:rPr>
          <w:highlight w:val="none"/>
        </w:rPr>
        <w:t>年度</w:t>
      </w:r>
      <w:r>
        <w:rPr>
          <w:rFonts w:eastAsia="Times New Roman"/>
          <w:highlight w:val="none"/>
          <w:u w:val="thick"/>
        </w:rPr>
        <w:t>XX</w:t>
      </w:r>
      <w:r>
        <w:rPr>
          <w:highlight w:val="none"/>
          <w:u w:val="thick"/>
        </w:rPr>
        <w:t>部门</w:t>
      </w:r>
      <w:r>
        <w:rPr>
          <w:spacing w:val="-3"/>
          <w:highlight w:val="none"/>
          <w:u w:val="thick"/>
        </w:rPr>
        <w:t>（</w:t>
      </w:r>
      <w:r>
        <w:rPr>
          <w:highlight w:val="none"/>
          <w:u w:val="thick"/>
        </w:rPr>
        <w:t>单位）</w:t>
      </w:r>
      <w:r>
        <w:rPr>
          <w:highlight w:val="none"/>
        </w:rPr>
        <w:t>决算公开</w:t>
      </w: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highlight w:val="none"/>
        </w:rPr>
      </w:pPr>
      <w:r>
        <w:rPr>
          <w:rFonts w:hint="eastAsia" w:ascii="黑体" w:hAnsi="黑体" w:eastAsia="黑体" w:cs="黑体"/>
          <w:sz w:val="32"/>
          <w:szCs w:val="32"/>
          <w:highlight w:val="none"/>
          <w:lang w:val="en-US" w:eastAsia="zh-CN"/>
        </w:rPr>
        <w:t>批复</w:t>
      </w:r>
      <w:r>
        <w:rPr>
          <w:rFonts w:ascii="黑体" w:hAnsi="黑体" w:eastAsia="黑体" w:cs="黑体"/>
          <w:sz w:val="32"/>
          <w:szCs w:val="32"/>
          <w:highlight w:val="none"/>
        </w:rPr>
        <w:t>时间：</w:t>
      </w:r>
      <w:r>
        <w:rPr>
          <w:rFonts w:ascii="黑体" w:hAnsi="黑体" w:eastAsia="黑体" w:cs="黑体"/>
          <w:sz w:val="32"/>
          <w:szCs w:val="32"/>
          <w:highlight w:val="none"/>
          <w:u w:val="single"/>
        </w:rPr>
        <w:t xml:space="preserve">      年      月     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highlight w:val="none"/>
        </w:rPr>
      </w:pPr>
      <w:r>
        <w:rPr>
          <w:rFonts w:ascii="黑体" w:hAnsi="黑体" w:eastAsia="黑体" w:cs="黑体"/>
          <w:sz w:val="32"/>
          <w:szCs w:val="32"/>
          <w:highlight w:val="none"/>
        </w:rPr>
        <w:t>公开时间：</w:t>
      </w:r>
      <w:r>
        <w:rPr>
          <w:rFonts w:ascii="黑体" w:hAnsi="黑体" w:eastAsia="黑体" w:cs="黑体"/>
          <w:sz w:val="32"/>
          <w:szCs w:val="32"/>
          <w:highlight w:val="none"/>
          <w:u w:val="single"/>
        </w:rPr>
        <w:t xml:space="preserve">      年      月     日</w:t>
      </w:r>
    </w:p>
    <w:p>
      <w:pPr>
        <w:pageBreakBefore w:val="0"/>
        <w:kinsoku/>
        <w:wordWrap/>
        <w:overflowPunct/>
        <w:topLinePunct w:val="0"/>
        <w:bidi w:val="0"/>
        <w:adjustRightInd w:val="0"/>
        <w:snapToGrid w:val="0"/>
        <w:spacing w:line="600" w:lineRule="exact"/>
        <w:ind w:left="0" w:leftChars="0" w:right="0" w:rightChars="0" w:firstLine="960" w:firstLineChars="3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注：公开时间不能晚于外网公开时间</w:t>
      </w:r>
      <w:r>
        <w:rPr>
          <w:rFonts w:hint="eastAsia" w:ascii="仿宋" w:hAnsi="仿宋" w:eastAsia="仿宋"/>
          <w:sz w:val="32"/>
          <w:szCs w:val="32"/>
          <w:highlight w:val="none"/>
          <w:lang w:eastAsia="zh-CN"/>
        </w:rPr>
        <w:t>）</w:t>
      </w:r>
    </w:p>
    <w:p>
      <w:pPr>
        <w:pageBreakBefore w:val="0"/>
        <w:kinsoku/>
        <w:wordWrap/>
        <w:overflowPunct/>
        <w:topLinePunct w:val="0"/>
        <w:bidi w:val="0"/>
        <w:adjustRightInd w:val="0"/>
        <w:snapToGrid w:val="0"/>
        <w:spacing w:line="600" w:lineRule="exact"/>
        <w:ind w:left="0" w:leftChars="0" w:right="0" w:rightChars="0" w:firstLine="960" w:firstLineChars="300"/>
        <w:jc w:val="left"/>
        <w:rPr>
          <w:rFonts w:hint="eastAsia" w:ascii="仿宋" w:hAnsi="仿宋" w:eastAsia="仿宋"/>
          <w:sz w:val="32"/>
          <w:szCs w:val="32"/>
          <w:highlight w:val="none"/>
          <w:lang w:eastAsia="zh-CN"/>
        </w:rPr>
        <w:sectPr>
          <w:pgSz w:w="11910" w:h="16840"/>
          <w:pgMar w:top="1580" w:right="1560" w:bottom="280" w:left="1480" w:header="720" w:footer="720" w:gutter="0"/>
          <w:pgNumType w:fmt="numberInDash"/>
          <w:cols w:space="720" w:num="1"/>
        </w:sectPr>
      </w:pPr>
      <w:r>
        <w:rPr>
          <w:rFonts w:hint="eastAsia" w:ascii="仿宋" w:hAnsi="仿宋" w:eastAsia="仿宋"/>
          <w:sz w:val="32"/>
          <w:szCs w:val="32"/>
          <w:highlight w:val="none"/>
          <w:lang w:val="en-US" w:eastAsia="zh-CN"/>
        </w:rPr>
        <w:t>（注：部门本级公开名称要+后缀“本级”，否则视同为部门汇总预算</w:t>
      </w:r>
      <w:r>
        <w:rPr>
          <w:rFonts w:hint="eastAsia" w:ascii="仿宋" w:hAnsi="仿宋" w:eastAsia="仿宋"/>
          <w:sz w:val="32"/>
          <w:szCs w:val="32"/>
          <w:highlight w:val="none"/>
          <w:lang w:eastAsia="zh-CN"/>
        </w:rPr>
        <w:t>）</w:t>
      </w:r>
    </w:p>
    <w:p>
      <w:pPr>
        <w:pStyle w:val="8"/>
        <w:spacing w:before="3"/>
        <w:ind w:firstLine="200"/>
        <w:rPr>
          <w:sz w:val="10"/>
          <w:highlight w:val="none"/>
        </w:rPr>
      </w:pPr>
    </w:p>
    <w:p>
      <w:pPr>
        <w:pStyle w:val="5"/>
        <w:spacing w:before="0" w:after="0" w:line="415" w:lineRule="auto"/>
        <w:ind w:left="0" w:leftChars="0" w:firstLine="0" w:firstLineChars="0"/>
        <w:jc w:val="center"/>
        <w:rPr>
          <w:sz w:val="44"/>
          <w:szCs w:val="44"/>
          <w:highlight w:val="none"/>
        </w:rPr>
      </w:pPr>
      <w:r>
        <w:rPr>
          <w:sz w:val="44"/>
          <w:szCs w:val="44"/>
          <w:highlight w:val="none"/>
        </w:rPr>
        <w:t>目</w:t>
      </w:r>
      <w:r>
        <w:rPr>
          <w:sz w:val="44"/>
          <w:szCs w:val="44"/>
          <w:highlight w:val="none"/>
        </w:rPr>
        <w:tab/>
      </w:r>
      <w:r>
        <w:rPr>
          <w:sz w:val="44"/>
          <w:szCs w:val="44"/>
          <w:highlight w:val="none"/>
        </w:rPr>
        <w:t>录</w:t>
      </w:r>
    </w:p>
    <w:p>
      <w:pPr>
        <w:pStyle w:val="8"/>
        <w:spacing w:before="14"/>
        <w:ind w:firstLine="560"/>
        <w:rPr>
          <w:sz w:val="28"/>
          <w:highlight w:val="none"/>
        </w:rPr>
      </w:pPr>
    </w:p>
    <w:p>
      <w:pPr>
        <w:pStyle w:val="8"/>
        <w:spacing w:after="0" w:line="360" w:lineRule="auto"/>
        <w:ind w:left="0" w:leftChars="0" w:firstLine="0" w:firstLineChars="0"/>
        <w:rPr>
          <w:rFonts w:hint="eastAsia" w:ascii="黑体" w:hAnsi="黑体" w:eastAsia="黑体" w:cs="黑体"/>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部门（单位）概况</w:t>
      </w:r>
    </w:p>
    <w:p>
      <w:pPr>
        <w:pStyle w:val="8"/>
        <w:spacing w:after="0" w:line="360" w:lineRule="auto"/>
        <w:ind w:left="0" w:leftChars="0" w:firstLine="0" w:firstLine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rPr>
        <w:t>一</w:t>
      </w:r>
      <w:r>
        <w:rPr>
          <w:rFonts w:hint="eastAsia" w:ascii="仿宋" w:hAnsi="仿宋" w:eastAsia="仿宋" w:cs="仿宋"/>
          <w:w w:val="95"/>
          <w:sz w:val="32"/>
          <w:szCs w:val="32"/>
          <w:highlight w:val="none"/>
          <w:lang w:eastAsia="zh-CN"/>
        </w:rPr>
        <w:t>、</w:t>
      </w:r>
      <w:r>
        <w:rPr>
          <w:rFonts w:hint="eastAsia" w:ascii="仿宋" w:hAnsi="仿宋" w:eastAsia="仿宋" w:cs="仿宋"/>
          <w:w w:val="95"/>
          <w:sz w:val="32"/>
          <w:szCs w:val="32"/>
          <w:highlight w:val="none"/>
        </w:rPr>
        <w:t>主要职能</w:t>
      </w:r>
      <w:r>
        <w:rPr>
          <w:rFonts w:hint="eastAsia" w:ascii="仿宋" w:hAnsi="仿宋" w:eastAsia="仿宋" w:cs="仿宋"/>
          <w:w w:val="95"/>
          <w:sz w:val="32"/>
          <w:szCs w:val="32"/>
          <w:highlight w:val="none"/>
          <w:lang w:eastAsia="zh-CN"/>
        </w:rPr>
        <w:t>、</w:t>
      </w:r>
      <w:r>
        <w:rPr>
          <w:rFonts w:hint="eastAsia" w:ascii="仿宋" w:hAnsi="仿宋" w:eastAsia="仿宋" w:cs="仿宋"/>
          <w:w w:val="95"/>
          <w:sz w:val="32"/>
          <w:szCs w:val="32"/>
          <w:highlight w:val="none"/>
          <w:lang w:val="en-US" w:eastAsia="zh-CN"/>
        </w:rPr>
        <w:t>职责</w:t>
      </w:r>
    </w:p>
    <w:p>
      <w:pPr>
        <w:pStyle w:val="8"/>
        <w:tabs>
          <w:tab w:val="left" w:pos="994"/>
        </w:tabs>
        <w:spacing w:before="6" w:line="235" w:lineRule="auto"/>
        <w:ind w:right="167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rPr>
        <w:t>二</w:t>
      </w:r>
      <w:r>
        <w:rPr>
          <w:rFonts w:hint="eastAsia" w:ascii="仿宋" w:hAnsi="仿宋" w:eastAsia="仿宋" w:cs="仿宋"/>
          <w:w w:val="95"/>
          <w:sz w:val="32"/>
          <w:szCs w:val="32"/>
          <w:highlight w:val="none"/>
          <w:lang w:eastAsia="zh-CN"/>
        </w:rPr>
        <w:t>、</w:t>
      </w:r>
      <w:r>
        <w:rPr>
          <w:rFonts w:hint="eastAsia" w:ascii="仿宋" w:hAnsi="仿宋" w:eastAsia="仿宋" w:cs="仿宋"/>
          <w:w w:val="95"/>
          <w:sz w:val="32"/>
          <w:szCs w:val="32"/>
          <w:highlight w:val="none"/>
        </w:rPr>
        <w:t>部门（单位）机构设置及决算单位构成情况</w:t>
      </w:r>
    </w:p>
    <w:p>
      <w:pPr>
        <w:pStyle w:val="8"/>
        <w:spacing w:after="0" w:line="360" w:lineRule="auto"/>
        <w:ind w:left="0" w:leftChars="0" w:firstLine="0" w:firstLineChars="0"/>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部分</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XX</w:t>
      </w:r>
      <w:r>
        <w:rPr>
          <w:rFonts w:hint="eastAsia" w:ascii="黑体" w:hAnsi="黑体" w:eastAsia="黑体" w:cs="黑体"/>
          <w:sz w:val="32"/>
          <w:szCs w:val="32"/>
          <w:highlight w:val="none"/>
        </w:rPr>
        <w:t>年度部门（单位）决算情况说明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一、收入支出决算总体情况说明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二、收入决算情况说明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三、支出决算情况说明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四、财政拨款收入支出决算总体情况说明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五、一般公共预算支出决算情况说明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六、一般公共预算基本支出决算情况说明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七、一般公共预算“三公”经费支出决算情况说明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八、政府性基金预算支出决算情况说明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九、国有资本经营预算支出决算情况说明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十、项目支出决算情况说明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十一、一般公共预算机关运行经费支出决算情况说明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十二、政府采购支出决算情况说明</w:t>
      </w:r>
    </w:p>
    <w:p>
      <w:pPr>
        <w:pStyle w:val="8"/>
        <w:numPr>
          <w:ilvl w:val="0"/>
          <w:numId w:val="0"/>
        </w:numPr>
        <w:spacing w:after="0" w:line="360" w:lineRule="auto"/>
        <w:ind w:leftChars="0"/>
        <w:rPr>
          <w:rFonts w:hint="eastAsia"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十三、国有资产占用情况说明</w:t>
      </w:r>
    </w:p>
    <w:p>
      <w:pPr>
        <w:pStyle w:val="8"/>
        <w:numPr>
          <w:ilvl w:val="0"/>
          <w:numId w:val="0"/>
        </w:numPr>
        <w:spacing w:after="0" w:line="360" w:lineRule="auto"/>
        <w:ind w:leftChars="0"/>
        <w:rPr>
          <w:rFonts w:hint="default"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十四、预算绩效评价工作开展情况</w:t>
      </w:r>
    </w:p>
    <w:p>
      <w:pPr>
        <w:pStyle w:val="8"/>
        <w:spacing w:after="0" w:line="360" w:lineRule="auto"/>
        <w:ind w:left="0" w:leftChars="0" w:firstLine="0" w:firstLineChars="0"/>
        <w:rPr>
          <w:rFonts w:hint="eastAsia" w:ascii="黑体" w:hAnsi="黑体" w:eastAsia="黑体" w:cs="黑体"/>
          <w:sz w:val="32"/>
          <w:szCs w:val="32"/>
          <w:highlight w:val="none"/>
        </w:rPr>
      </w:pPr>
    </w:p>
    <w:p>
      <w:pPr>
        <w:pStyle w:val="8"/>
        <w:spacing w:after="0" w:line="360" w:lineRule="auto"/>
        <w:ind w:left="0" w:leftChars="0" w:firstLine="0" w:firstLineChars="0"/>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部分</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名词解释</w:t>
      </w:r>
    </w:p>
    <w:p>
      <w:pPr>
        <w:pStyle w:val="8"/>
        <w:spacing w:after="0" w:line="360" w:lineRule="auto"/>
        <w:ind w:left="0" w:leftChars="0" w:firstLine="0" w:firstLineChars="0"/>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部分</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XX</w:t>
      </w:r>
      <w:r>
        <w:rPr>
          <w:rFonts w:hint="eastAsia" w:ascii="黑体" w:hAnsi="黑体" w:eastAsia="黑体" w:cs="黑体"/>
          <w:sz w:val="32"/>
          <w:szCs w:val="32"/>
          <w:highlight w:val="none"/>
        </w:rPr>
        <w:t>年度部门（单位）决算表</w:t>
      </w:r>
    </w:p>
    <w:p>
      <w:pPr>
        <w:pStyle w:val="8"/>
        <w:numPr>
          <w:ilvl w:val="0"/>
          <w:numId w:val="0"/>
        </w:numPr>
        <w:spacing w:after="0" w:line="360" w:lineRule="auto"/>
        <w:ind w:leftChars="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lang w:val="en-US" w:eastAsia="zh-CN"/>
        </w:rPr>
        <w:t>一、</w:t>
      </w:r>
      <w:r>
        <w:rPr>
          <w:rFonts w:hint="eastAsia" w:ascii="仿宋" w:hAnsi="仿宋" w:eastAsia="仿宋" w:cs="仿宋"/>
          <w:w w:val="95"/>
          <w:sz w:val="32"/>
          <w:szCs w:val="32"/>
          <w:highlight w:val="none"/>
        </w:rPr>
        <w:t>收入支出决算总表</w:t>
      </w:r>
    </w:p>
    <w:p>
      <w:pPr>
        <w:pStyle w:val="8"/>
        <w:numPr>
          <w:ilvl w:val="0"/>
          <w:numId w:val="0"/>
        </w:numPr>
        <w:spacing w:after="0" w:line="360" w:lineRule="auto"/>
        <w:ind w:leftChars="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rPr>
        <w:t>二、收入决算表</w:t>
      </w:r>
    </w:p>
    <w:p>
      <w:pPr>
        <w:pStyle w:val="8"/>
        <w:spacing w:after="0" w:line="360" w:lineRule="auto"/>
        <w:ind w:left="0" w:leftChars="0" w:firstLine="0" w:firstLineChars="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rPr>
        <w:t>三、支出决算表</w:t>
      </w:r>
    </w:p>
    <w:p>
      <w:pPr>
        <w:pStyle w:val="8"/>
        <w:spacing w:after="0" w:line="360" w:lineRule="auto"/>
        <w:ind w:left="0" w:leftChars="0" w:firstLine="0" w:firstLineChars="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rPr>
        <w:t>四、财政拨款收入支出决算总表</w:t>
      </w:r>
    </w:p>
    <w:p>
      <w:pPr>
        <w:pStyle w:val="8"/>
        <w:spacing w:after="0" w:line="360" w:lineRule="auto"/>
        <w:ind w:left="0" w:leftChars="0" w:firstLine="0" w:firstLineChars="0"/>
        <w:rPr>
          <w:rFonts w:hint="default" w:ascii="仿宋" w:hAnsi="仿宋" w:eastAsia="仿宋" w:cs="仿宋"/>
          <w:w w:val="95"/>
          <w:sz w:val="32"/>
          <w:szCs w:val="32"/>
          <w:highlight w:val="none"/>
          <w:lang w:val="en-US" w:eastAsia="zh-CN"/>
        </w:rPr>
      </w:pPr>
      <w:r>
        <w:rPr>
          <w:rFonts w:hint="eastAsia" w:ascii="仿宋" w:hAnsi="仿宋" w:eastAsia="仿宋" w:cs="仿宋"/>
          <w:w w:val="95"/>
          <w:sz w:val="32"/>
          <w:szCs w:val="32"/>
          <w:highlight w:val="none"/>
          <w:lang w:val="en-US" w:eastAsia="zh-CN"/>
        </w:rPr>
        <w:t>五、项目收入支出决算表</w:t>
      </w:r>
    </w:p>
    <w:p>
      <w:pPr>
        <w:pStyle w:val="8"/>
        <w:spacing w:after="0" w:line="360" w:lineRule="auto"/>
        <w:ind w:left="0" w:leftChars="0" w:firstLine="0" w:firstLineChars="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lang w:val="en-US" w:eastAsia="zh-CN"/>
        </w:rPr>
        <w:t>六</w:t>
      </w:r>
      <w:r>
        <w:rPr>
          <w:rFonts w:hint="eastAsia" w:ascii="仿宋" w:hAnsi="仿宋" w:eastAsia="仿宋" w:cs="仿宋"/>
          <w:w w:val="95"/>
          <w:sz w:val="32"/>
          <w:szCs w:val="32"/>
          <w:highlight w:val="none"/>
        </w:rPr>
        <w:t>、一般公共预算</w:t>
      </w:r>
      <w:r>
        <w:rPr>
          <w:rFonts w:hint="eastAsia" w:ascii="仿宋" w:hAnsi="仿宋" w:eastAsia="仿宋" w:cs="仿宋"/>
          <w:w w:val="95"/>
          <w:sz w:val="32"/>
          <w:szCs w:val="32"/>
          <w:highlight w:val="none"/>
          <w:lang w:val="en-US" w:eastAsia="zh-CN"/>
        </w:rPr>
        <w:t>财政拨款</w:t>
      </w:r>
      <w:r>
        <w:rPr>
          <w:rFonts w:hint="eastAsia" w:ascii="仿宋" w:hAnsi="仿宋" w:eastAsia="仿宋" w:cs="仿宋"/>
          <w:w w:val="95"/>
          <w:sz w:val="32"/>
          <w:szCs w:val="32"/>
          <w:highlight w:val="none"/>
        </w:rPr>
        <w:t>支出决算表</w:t>
      </w:r>
    </w:p>
    <w:p>
      <w:pPr>
        <w:pStyle w:val="8"/>
        <w:spacing w:after="0" w:line="360" w:lineRule="auto"/>
        <w:ind w:left="0" w:leftChars="0" w:firstLine="0" w:firstLineChars="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lang w:val="en-US" w:eastAsia="zh-CN"/>
        </w:rPr>
        <w:t>七</w:t>
      </w:r>
      <w:r>
        <w:rPr>
          <w:rFonts w:hint="eastAsia" w:ascii="仿宋" w:hAnsi="仿宋" w:eastAsia="仿宋" w:cs="仿宋"/>
          <w:w w:val="95"/>
          <w:sz w:val="32"/>
          <w:szCs w:val="32"/>
          <w:highlight w:val="none"/>
        </w:rPr>
        <w:t>、一般公共预算</w:t>
      </w:r>
      <w:r>
        <w:rPr>
          <w:rFonts w:hint="eastAsia" w:ascii="仿宋" w:hAnsi="仿宋" w:eastAsia="仿宋" w:cs="仿宋"/>
          <w:w w:val="95"/>
          <w:sz w:val="32"/>
          <w:szCs w:val="32"/>
          <w:highlight w:val="none"/>
          <w:lang w:val="en-US" w:eastAsia="zh-CN"/>
        </w:rPr>
        <w:t>财政拨款</w:t>
      </w:r>
      <w:r>
        <w:rPr>
          <w:rFonts w:hint="eastAsia" w:ascii="仿宋" w:hAnsi="仿宋" w:eastAsia="仿宋" w:cs="仿宋"/>
          <w:w w:val="95"/>
          <w:sz w:val="32"/>
          <w:szCs w:val="32"/>
          <w:highlight w:val="none"/>
        </w:rPr>
        <w:t>基本支出</w:t>
      </w:r>
      <w:r>
        <w:rPr>
          <w:rFonts w:hint="eastAsia" w:ascii="仿宋" w:hAnsi="仿宋" w:eastAsia="仿宋" w:cs="仿宋"/>
          <w:w w:val="95"/>
          <w:sz w:val="32"/>
          <w:szCs w:val="32"/>
          <w:highlight w:val="none"/>
          <w:lang w:val="en-US" w:eastAsia="zh-CN"/>
        </w:rPr>
        <w:t>明细</w:t>
      </w:r>
      <w:r>
        <w:rPr>
          <w:rFonts w:hint="eastAsia" w:ascii="仿宋" w:hAnsi="仿宋" w:eastAsia="仿宋" w:cs="仿宋"/>
          <w:w w:val="95"/>
          <w:sz w:val="32"/>
          <w:szCs w:val="32"/>
          <w:highlight w:val="none"/>
        </w:rPr>
        <w:t>表</w:t>
      </w:r>
    </w:p>
    <w:p>
      <w:pPr>
        <w:pStyle w:val="8"/>
        <w:spacing w:after="0" w:line="360" w:lineRule="auto"/>
        <w:ind w:left="0" w:leftChars="0" w:firstLine="0" w:firstLineChars="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lang w:val="en-US" w:eastAsia="zh-CN"/>
        </w:rPr>
        <w:t>八</w:t>
      </w:r>
      <w:r>
        <w:rPr>
          <w:rFonts w:hint="eastAsia" w:ascii="仿宋" w:hAnsi="仿宋" w:eastAsia="仿宋" w:cs="仿宋"/>
          <w:w w:val="95"/>
          <w:sz w:val="32"/>
          <w:szCs w:val="32"/>
          <w:highlight w:val="none"/>
        </w:rPr>
        <w:t>、政府性基金预算</w:t>
      </w:r>
      <w:r>
        <w:rPr>
          <w:rFonts w:hint="eastAsia" w:ascii="仿宋" w:hAnsi="仿宋" w:eastAsia="仿宋" w:cs="仿宋"/>
          <w:w w:val="95"/>
          <w:sz w:val="32"/>
          <w:szCs w:val="32"/>
          <w:highlight w:val="none"/>
          <w:lang w:val="en-US" w:eastAsia="zh-CN"/>
        </w:rPr>
        <w:t>财政拨款收入</w:t>
      </w:r>
      <w:r>
        <w:rPr>
          <w:rFonts w:hint="eastAsia" w:ascii="仿宋" w:hAnsi="仿宋" w:eastAsia="仿宋" w:cs="仿宋"/>
          <w:w w:val="95"/>
          <w:sz w:val="32"/>
          <w:szCs w:val="32"/>
          <w:highlight w:val="none"/>
        </w:rPr>
        <w:t>支出决算表</w:t>
      </w:r>
    </w:p>
    <w:p>
      <w:pPr>
        <w:pStyle w:val="8"/>
        <w:spacing w:after="0" w:line="360" w:lineRule="auto"/>
        <w:ind w:left="0" w:leftChars="0" w:firstLine="0" w:firstLineChars="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lang w:val="en-US" w:eastAsia="zh-CN"/>
        </w:rPr>
        <w:t>九</w:t>
      </w:r>
      <w:r>
        <w:rPr>
          <w:rFonts w:hint="eastAsia" w:ascii="仿宋" w:hAnsi="仿宋" w:eastAsia="仿宋" w:cs="仿宋"/>
          <w:w w:val="95"/>
          <w:sz w:val="32"/>
          <w:szCs w:val="32"/>
          <w:highlight w:val="none"/>
        </w:rPr>
        <w:t>、国有资本经营预算</w:t>
      </w:r>
      <w:r>
        <w:rPr>
          <w:rFonts w:hint="eastAsia" w:ascii="仿宋" w:hAnsi="仿宋" w:eastAsia="仿宋" w:cs="仿宋"/>
          <w:w w:val="95"/>
          <w:sz w:val="32"/>
          <w:szCs w:val="32"/>
          <w:highlight w:val="none"/>
          <w:lang w:val="en-US" w:eastAsia="zh-CN"/>
        </w:rPr>
        <w:t>财政拨款</w:t>
      </w:r>
      <w:r>
        <w:rPr>
          <w:rFonts w:hint="eastAsia" w:ascii="仿宋" w:hAnsi="仿宋" w:eastAsia="仿宋" w:cs="仿宋"/>
          <w:w w:val="95"/>
          <w:sz w:val="32"/>
          <w:szCs w:val="32"/>
          <w:highlight w:val="none"/>
        </w:rPr>
        <w:t>支出决算表</w:t>
      </w:r>
    </w:p>
    <w:p>
      <w:pPr>
        <w:pStyle w:val="8"/>
        <w:spacing w:after="0" w:line="360" w:lineRule="auto"/>
        <w:ind w:left="0" w:leftChars="0" w:firstLine="0" w:firstLineChars="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lang w:val="en-US" w:eastAsia="zh-CN"/>
        </w:rPr>
        <w:t>十</w:t>
      </w:r>
      <w:r>
        <w:rPr>
          <w:rFonts w:hint="eastAsia" w:ascii="仿宋" w:hAnsi="仿宋" w:eastAsia="仿宋" w:cs="仿宋"/>
          <w:w w:val="95"/>
          <w:sz w:val="32"/>
          <w:szCs w:val="32"/>
          <w:highlight w:val="none"/>
        </w:rPr>
        <w:t>、</w:t>
      </w:r>
      <w:r>
        <w:rPr>
          <w:rFonts w:hint="eastAsia" w:ascii="仿宋" w:hAnsi="仿宋" w:eastAsia="仿宋" w:cs="仿宋"/>
          <w:w w:val="95"/>
          <w:sz w:val="32"/>
          <w:szCs w:val="32"/>
          <w:highlight w:val="none"/>
          <w:lang w:val="en-US" w:eastAsia="zh-CN"/>
        </w:rPr>
        <w:t>财政拨款</w:t>
      </w:r>
      <w:r>
        <w:rPr>
          <w:rFonts w:hint="eastAsia" w:ascii="仿宋" w:hAnsi="仿宋" w:eastAsia="仿宋" w:cs="仿宋"/>
          <w:w w:val="95"/>
          <w:sz w:val="32"/>
          <w:szCs w:val="32"/>
          <w:highlight w:val="none"/>
        </w:rPr>
        <w:t>“三公”经费支出决算表</w:t>
      </w:r>
    </w:p>
    <w:p>
      <w:pPr>
        <w:pStyle w:val="8"/>
        <w:spacing w:after="0" w:line="360" w:lineRule="auto"/>
        <w:ind w:left="0" w:leftChars="0" w:firstLine="0" w:firstLineChars="0"/>
        <w:rPr>
          <w:rFonts w:hint="eastAsia" w:ascii="仿宋" w:hAnsi="仿宋" w:eastAsia="仿宋" w:cs="仿宋"/>
          <w:w w:val="95"/>
          <w:sz w:val="32"/>
          <w:szCs w:val="32"/>
          <w:highlight w:val="none"/>
        </w:rPr>
      </w:pPr>
      <w:r>
        <w:rPr>
          <w:rFonts w:hint="eastAsia" w:ascii="仿宋" w:hAnsi="仿宋" w:eastAsia="仿宋" w:cs="仿宋"/>
          <w:w w:val="95"/>
          <w:sz w:val="32"/>
          <w:szCs w:val="32"/>
          <w:highlight w:val="none"/>
        </w:rPr>
        <w:t>十</w:t>
      </w:r>
      <w:r>
        <w:rPr>
          <w:rFonts w:hint="eastAsia" w:ascii="仿宋" w:hAnsi="仿宋" w:eastAsia="仿宋" w:cs="仿宋"/>
          <w:w w:val="95"/>
          <w:sz w:val="32"/>
          <w:szCs w:val="32"/>
          <w:highlight w:val="none"/>
          <w:lang w:val="en-US" w:eastAsia="zh-CN"/>
        </w:rPr>
        <w:t>一</w:t>
      </w:r>
      <w:r>
        <w:rPr>
          <w:rFonts w:hint="eastAsia" w:ascii="仿宋" w:hAnsi="仿宋" w:eastAsia="仿宋" w:cs="仿宋"/>
          <w:w w:val="95"/>
          <w:sz w:val="32"/>
          <w:szCs w:val="32"/>
          <w:highlight w:val="none"/>
        </w:rPr>
        <w:t>、机构运行经费支出、国有资产占用情况及政府采购支出信息表</w:t>
      </w:r>
    </w:p>
    <w:p>
      <w:pPr>
        <w:pageBreakBefore w:val="0"/>
        <w:kinsoku/>
        <w:wordWrap/>
        <w:overflowPunct/>
        <w:topLinePunct w:val="0"/>
        <w:bidi w:val="0"/>
        <w:spacing w:line="600" w:lineRule="exact"/>
        <w:rPr>
          <w:rFonts w:hint="eastAsia" w:eastAsia="仿宋_GB2312" w:cstheme="minorBidi"/>
          <w:i/>
          <w:iCs/>
          <w:sz w:val="32"/>
          <w:szCs w:val="32"/>
          <w:highlight w:val="none"/>
          <w:lang w:val="en-US" w:eastAsia="zh-CN"/>
        </w:rPr>
      </w:pPr>
      <w:r>
        <w:rPr>
          <w:rFonts w:hint="eastAsia" w:eastAsia="仿宋_GB2312" w:cstheme="minorBidi"/>
          <w:i/>
          <w:iCs/>
          <w:sz w:val="32"/>
          <w:szCs w:val="32"/>
          <w:highlight w:val="none"/>
          <w:lang w:val="en-US" w:eastAsia="zh-CN"/>
        </w:rPr>
        <w:t>特别强调1：每个公开位置要精准上传指定报表，切忌重复公开多个预算报表；没有数据的报表要上传空表，并在报表合计数处填“0”的同时，在表格下方说明“本单位不涉及”或“本单位无XX预算”。</w:t>
      </w:r>
    </w:p>
    <w:p>
      <w:pPr>
        <w:pageBreakBefore w:val="0"/>
        <w:kinsoku/>
        <w:wordWrap/>
        <w:overflowPunct/>
        <w:topLinePunct w:val="0"/>
        <w:bidi w:val="0"/>
        <w:spacing w:line="600" w:lineRule="exact"/>
        <w:rPr>
          <w:rFonts w:hint="eastAsia" w:eastAsia="仿宋_GB2312" w:cstheme="minorBidi"/>
          <w:b/>
          <w:bCs/>
          <w:i/>
          <w:iCs/>
          <w:sz w:val="32"/>
          <w:szCs w:val="32"/>
          <w:highlight w:val="none"/>
          <w:lang w:val="en-US" w:eastAsia="zh-CN"/>
        </w:rPr>
      </w:pPr>
      <w:r>
        <w:rPr>
          <w:rFonts w:hint="eastAsia" w:eastAsia="仿宋_GB2312" w:cstheme="minorBidi"/>
          <w:i/>
          <w:iCs/>
          <w:sz w:val="32"/>
          <w:szCs w:val="32"/>
          <w:highlight w:val="none"/>
          <w:lang w:val="en-US" w:eastAsia="zh-CN"/>
        </w:rPr>
        <w:t>特别强调2。一般公共预算支出情况表公开到功能分类</w:t>
      </w:r>
      <w:r>
        <w:rPr>
          <w:rFonts w:hint="eastAsia" w:eastAsia="仿宋_GB2312" w:cstheme="minorBidi"/>
          <w:b/>
          <w:bCs/>
          <w:i/>
          <w:iCs/>
          <w:sz w:val="32"/>
          <w:szCs w:val="32"/>
          <w:highlight w:val="none"/>
          <w:lang w:val="en-US" w:eastAsia="zh-CN"/>
        </w:rPr>
        <w:t>项级</w:t>
      </w:r>
      <w:r>
        <w:rPr>
          <w:rFonts w:hint="eastAsia" w:eastAsia="仿宋_GB2312" w:cstheme="minorBidi"/>
          <w:i/>
          <w:iCs/>
          <w:sz w:val="32"/>
          <w:szCs w:val="32"/>
          <w:highlight w:val="none"/>
          <w:lang w:val="en-US" w:eastAsia="zh-CN"/>
        </w:rPr>
        <w:t>科目。一般公共预算基本支出表公开到经济性质</w:t>
      </w:r>
      <w:r>
        <w:rPr>
          <w:rFonts w:hint="eastAsia" w:eastAsia="仿宋_GB2312" w:cstheme="minorBidi"/>
          <w:b/>
          <w:bCs/>
          <w:i/>
          <w:iCs/>
          <w:sz w:val="32"/>
          <w:szCs w:val="32"/>
          <w:highlight w:val="none"/>
          <w:lang w:val="en-US" w:eastAsia="zh-CN"/>
        </w:rPr>
        <w:t>分类款级科目。</w:t>
      </w:r>
    </w:p>
    <w:p>
      <w:pPr>
        <w:pageBreakBefore w:val="0"/>
        <w:kinsoku/>
        <w:wordWrap/>
        <w:overflowPunct/>
        <w:topLinePunct w:val="0"/>
        <w:bidi w:val="0"/>
        <w:spacing w:line="600" w:lineRule="exact"/>
        <w:rPr>
          <w:rFonts w:hint="default" w:eastAsia="仿宋_GB2312" w:cstheme="minorBidi"/>
          <w:sz w:val="32"/>
          <w:szCs w:val="32"/>
          <w:highlight w:val="none"/>
          <w:lang w:val="en-US" w:eastAsia="zh-CN"/>
        </w:rPr>
      </w:pPr>
      <w:r>
        <w:rPr>
          <w:rFonts w:hint="eastAsia" w:eastAsia="仿宋_GB2312" w:cstheme="minorBidi"/>
          <w:i/>
          <w:iCs/>
          <w:sz w:val="32"/>
          <w:szCs w:val="32"/>
          <w:highlight w:val="none"/>
          <w:lang w:val="en-US" w:eastAsia="zh-CN"/>
        </w:rPr>
        <w:t>特别强调3：公开报表缩放比例要适当，最好保持在80%-100%。</w:t>
      </w:r>
    </w:p>
    <w:p>
      <w:pPr>
        <w:pageBreakBefore w:val="0"/>
        <w:kinsoku/>
        <w:wordWrap/>
        <w:overflowPunct/>
        <w:topLinePunct w:val="0"/>
        <w:bidi w:val="0"/>
        <w:spacing w:line="600" w:lineRule="exact"/>
        <w:rPr>
          <w:rFonts w:hint="default" w:eastAsia="仿宋_GB2312" w:cstheme="minorBidi"/>
          <w:i/>
          <w:iCs/>
          <w:sz w:val="32"/>
          <w:szCs w:val="32"/>
          <w:highlight w:val="none"/>
          <w:lang w:val="en-US" w:eastAsia="zh-CN"/>
        </w:rPr>
      </w:pPr>
      <w:r>
        <w:rPr>
          <w:rFonts w:hint="eastAsia" w:eastAsia="仿宋_GB2312" w:cstheme="minorBidi"/>
          <w:i/>
          <w:iCs/>
          <w:sz w:val="32"/>
          <w:szCs w:val="32"/>
          <w:highlight w:val="none"/>
          <w:lang w:val="en-US" w:eastAsia="zh-CN"/>
        </w:rPr>
        <w:t>特别强调4：公开报告不要“残留”模板内容。</w:t>
      </w:r>
    </w:p>
    <w:p>
      <w:pPr>
        <w:pStyle w:val="8"/>
        <w:spacing w:after="0" w:line="360" w:lineRule="auto"/>
        <w:ind w:left="0" w:leftChars="0" w:firstLine="0" w:firstLineChars="0"/>
        <w:rPr>
          <w:rFonts w:hint="eastAsia" w:ascii="仿宋" w:hAnsi="仿宋" w:eastAsia="仿宋" w:cs="仿宋"/>
          <w:w w:val="95"/>
          <w:sz w:val="32"/>
          <w:szCs w:val="32"/>
          <w:highlight w:val="none"/>
        </w:rPr>
      </w:pPr>
    </w:p>
    <w:p>
      <w:pPr>
        <w:pStyle w:val="6"/>
        <w:keepNext w:val="0"/>
        <w:keepLines w:val="0"/>
        <w:pageBreakBefore/>
        <w:widowControl w:val="0"/>
        <w:tabs>
          <w:tab w:val="left" w:pos="4392"/>
        </w:tabs>
        <w:kinsoku/>
        <w:wordWrap/>
        <w:overflowPunct/>
        <w:topLinePunct w:val="0"/>
        <w:autoSpaceDE/>
        <w:autoSpaceDN/>
        <w:bidi w:val="0"/>
        <w:adjustRightInd/>
        <w:snapToGrid/>
        <w:spacing w:line="509" w:lineRule="exact"/>
        <w:ind w:left="0" w:leftChars="0" w:right="0" w:rightChars="0" w:firstLine="0" w:firstLineChars="0"/>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第一部分部门（单位）概况</w:t>
      </w:r>
    </w:p>
    <w:p>
      <w:pPr>
        <w:spacing w:line="360" w:lineRule="auto"/>
        <w:ind w:firstLine="642" w:firstLineChars="200"/>
        <w:outlineLvl w:val="0"/>
        <w:rPr>
          <w:rFonts w:hint="eastAsia" w:eastAsia="黑体" w:cs="黑体"/>
          <w:b/>
          <w:bCs/>
          <w:sz w:val="32"/>
          <w:szCs w:val="36"/>
          <w:highlight w:val="none"/>
          <w:lang w:val="en-US" w:eastAsia="zh-CN"/>
        </w:rPr>
      </w:pPr>
      <w:r>
        <w:rPr>
          <w:rFonts w:hint="eastAsia" w:eastAsia="黑体" w:cs="黑体"/>
          <w:b/>
          <w:bCs/>
          <w:sz w:val="32"/>
          <w:szCs w:val="36"/>
          <w:highlight w:val="none"/>
        </w:rPr>
        <w:t>一、主要</w:t>
      </w:r>
      <w:r>
        <w:rPr>
          <w:rFonts w:hint="eastAsia" w:eastAsia="黑体" w:cs="黑体"/>
          <w:b/>
          <w:bCs/>
          <w:sz w:val="32"/>
          <w:szCs w:val="36"/>
          <w:highlight w:val="none"/>
          <w:lang w:val="en-US" w:eastAsia="zh-CN"/>
        </w:rPr>
        <w:t>职能、</w:t>
      </w:r>
      <w:r>
        <w:rPr>
          <w:rFonts w:hint="eastAsia" w:eastAsia="黑体" w:cs="黑体"/>
          <w:b/>
          <w:bCs/>
          <w:sz w:val="32"/>
          <w:szCs w:val="36"/>
          <w:highlight w:val="none"/>
        </w:rPr>
        <w:t>职</w:t>
      </w:r>
      <w:r>
        <w:rPr>
          <w:rFonts w:hint="eastAsia" w:eastAsia="黑体" w:cs="黑体"/>
          <w:b/>
          <w:bCs/>
          <w:sz w:val="32"/>
          <w:szCs w:val="36"/>
          <w:highlight w:val="none"/>
          <w:lang w:val="en-US" w:eastAsia="zh-CN"/>
        </w:rPr>
        <w:t>责</w:t>
      </w:r>
    </w:p>
    <w:p>
      <w:pPr>
        <w:pageBreakBefore w:val="0"/>
        <w:kinsoku/>
        <w:wordWrap/>
        <w:overflowPunct/>
        <w:topLinePunct w:val="0"/>
        <w:bidi w:val="0"/>
        <w:spacing w:line="600" w:lineRule="exact"/>
        <w:ind w:firstLine="640" w:firstLineChars="200"/>
        <w:rPr>
          <w:rFonts w:hint="eastAsia" w:eastAsia="仿宋_GB2312" w:cstheme="minorBidi"/>
          <w:i/>
          <w:iCs/>
          <w:sz w:val="32"/>
          <w:szCs w:val="32"/>
          <w:highlight w:val="none"/>
          <w:lang w:val="en-US" w:eastAsia="zh-CN"/>
        </w:rPr>
      </w:pPr>
      <w:r>
        <w:rPr>
          <w:rFonts w:hint="eastAsia" w:eastAsia="仿宋_GB2312" w:cstheme="minorBidi"/>
          <w:i/>
          <w:iCs/>
          <w:sz w:val="32"/>
          <w:szCs w:val="32"/>
          <w:highlight w:val="none"/>
          <w:lang w:val="en-US" w:eastAsia="zh-CN"/>
        </w:rPr>
        <w:t>部门（单位）公开的名称一定是全称并在报告和表格中保持一致，如果由于机构变革导致名称等与上年度信息偏差较大，则在此应说明。</w:t>
      </w:r>
    </w:p>
    <w:p>
      <w:pPr>
        <w:spacing w:line="360" w:lineRule="auto"/>
        <w:ind w:firstLine="642" w:firstLineChars="200"/>
        <w:outlineLvl w:val="0"/>
        <w:rPr>
          <w:rFonts w:eastAsia="黑体" w:cs="黑体"/>
          <w:b/>
          <w:bCs/>
          <w:sz w:val="32"/>
          <w:szCs w:val="36"/>
          <w:highlight w:val="none"/>
        </w:rPr>
      </w:pPr>
      <w:r>
        <w:rPr>
          <w:rFonts w:hint="eastAsia" w:eastAsia="黑体" w:cs="黑体"/>
          <w:b/>
          <w:bCs/>
          <w:sz w:val="32"/>
          <w:szCs w:val="36"/>
          <w:highlight w:val="none"/>
        </w:rPr>
        <w:t>二、部门（单位）机构设置及决算单位构成情况</w:t>
      </w:r>
    </w:p>
    <w:p>
      <w:pPr>
        <w:pStyle w:val="14"/>
        <w:numPr>
          <w:ilvl w:val="0"/>
          <w:numId w:val="0"/>
        </w:numPr>
        <w:tabs>
          <w:tab w:val="left" w:pos="1151"/>
        </w:tabs>
        <w:spacing w:line="360" w:lineRule="auto"/>
        <w:ind w:left="0" w:leftChars="0" w:right="0" w:rightChars="0" w:firstLine="640" w:firstLineChars="200"/>
        <w:jc w:val="both"/>
        <w:rPr>
          <w:rFonts w:ascii="Times New Roman" w:hAnsi="Times New Roman" w:eastAsia="仿宋_GB2312" w:cstheme="minorBidi"/>
          <w:kern w:val="2"/>
          <w:sz w:val="32"/>
          <w:szCs w:val="32"/>
          <w:highlight w:val="none"/>
          <w:lang w:eastAsia="zh-CN"/>
        </w:rPr>
      </w:pPr>
      <w:r>
        <w:rPr>
          <w:rFonts w:hint="eastAsia" w:ascii="Times New Roman" w:hAnsi="Times New Roman" w:eastAsia="仿宋_GB2312" w:cstheme="minorBidi"/>
          <w:kern w:val="2"/>
          <w:sz w:val="32"/>
          <w:szCs w:val="32"/>
          <w:highlight w:val="none"/>
          <w:lang w:val="en-US" w:eastAsia="zh-CN"/>
        </w:rPr>
        <w:t>1.</w:t>
      </w:r>
      <w:r>
        <w:rPr>
          <w:rFonts w:hint="eastAsia" w:ascii="Times New Roman" w:hAnsi="Times New Roman" w:eastAsia="仿宋_GB2312" w:cstheme="minorBidi"/>
          <w:kern w:val="2"/>
          <w:sz w:val="32"/>
          <w:szCs w:val="32"/>
          <w:highlight w:val="none"/>
          <w:lang w:eastAsia="zh-CN"/>
        </w:rPr>
        <w:t>根据部门（单位）职责分工，本部门（单位）内设机构包括……。本部门（单位）下属单位包括：……。（</w:t>
      </w:r>
      <w:r>
        <w:rPr>
          <w:rFonts w:hint="eastAsia" w:ascii="Times New Roman" w:hAnsi="Times New Roman" w:eastAsia="仿宋_GB2312" w:cstheme="minorBidi"/>
          <w:i/>
          <w:iCs/>
          <w:kern w:val="2"/>
          <w:sz w:val="32"/>
          <w:szCs w:val="32"/>
          <w:highlight w:val="none"/>
          <w:lang w:eastAsia="zh-CN"/>
        </w:rPr>
        <w:t>注：如无下属单位，应写明“本部门（单位）无下属单位”</w:t>
      </w:r>
      <w:r>
        <w:rPr>
          <w:rFonts w:hint="eastAsia" w:ascii="Times New Roman" w:hAnsi="Times New Roman" w:eastAsia="仿宋_GB2312" w:cstheme="minorBidi"/>
          <w:kern w:val="2"/>
          <w:sz w:val="32"/>
          <w:szCs w:val="32"/>
          <w:highlight w:val="none"/>
          <w:lang w:eastAsia="zh-CN"/>
        </w:rPr>
        <w:t>）</w:t>
      </w:r>
    </w:p>
    <w:p>
      <w:pPr>
        <w:spacing w:line="360" w:lineRule="auto"/>
        <w:ind w:firstLine="640" w:firstLineChars="200"/>
        <w:rPr>
          <w:rFonts w:hint="default" w:eastAsia="仿宋_GB2312" w:cstheme="minorBidi"/>
          <w:sz w:val="32"/>
          <w:szCs w:val="32"/>
          <w:highlight w:val="none"/>
          <w:lang w:val="en-US" w:eastAsia="zh-CN"/>
        </w:rPr>
      </w:pPr>
      <w:r>
        <w:rPr>
          <w:rFonts w:hint="eastAsia" w:ascii="Times New Roman" w:hAnsi="Times New Roman" w:eastAsia="仿宋_GB2312" w:cstheme="minorBidi"/>
          <w:kern w:val="2"/>
          <w:sz w:val="32"/>
          <w:szCs w:val="32"/>
          <w:highlight w:val="none"/>
          <w:lang w:val="en-US" w:eastAsia="zh-CN"/>
        </w:rPr>
        <w:t>2.</w:t>
      </w:r>
      <w:r>
        <w:rPr>
          <w:rFonts w:hint="eastAsia" w:ascii="Times New Roman" w:hAnsi="Times New Roman" w:eastAsia="仿宋_GB2312" w:cstheme="minorBidi"/>
          <w:kern w:val="2"/>
          <w:sz w:val="32"/>
          <w:szCs w:val="32"/>
          <w:highlight w:val="none"/>
          <w:lang w:eastAsia="zh-CN"/>
        </w:rPr>
        <w:t>从决算单位构成看，纳入本部门XX年部门汇总决算编制范围的预算单位共计XX家，具体包括：XX部门本级、XX、</w:t>
      </w:r>
      <w:r>
        <w:rPr>
          <w:rFonts w:hint="eastAsia" w:eastAsia="仿宋_GB2312" w:cstheme="minorBidi"/>
          <w:sz w:val="32"/>
          <w:szCs w:val="32"/>
          <w:highlight w:val="none"/>
        </w:rPr>
        <w:t>……</w:t>
      </w:r>
      <w:r>
        <w:rPr>
          <w:rFonts w:hint="eastAsia" w:eastAsia="仿宋_GB2312" w:cstheme="minorBidi"/>
          <w:sz w:val="32"/>
          <w:szCs w:val="32"/>
          <w:highlight w:val="none"/>
          <w:lang w:eastAsia="zh-CN"/>
        </w:rPr>
        <w:t>。</w:t>
      </w:r>
      <w:r>
        <w:rPr>
          <w:rFonts w:hint="eastAsia" w:eastAsia="仿宋_GB2312" w:cstheme="minorBidi"/>
          <w:sz w:val="32"/>
          <w:szCs w:val="32"/>
          <w:highlight w:val="none"/>
          <w:lang w:val="en-US" w:eastAsia="zh-CN"/>
        </w:rPr>
        <w:t>详细情况见表：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keepNext w:val="0"/>
              <w:keepLines w:val="0"/>
              <w:widowControl/>
              <w:suppressLineNumbers w:val="0"/>
              <w:jc w:val="center"/>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序号</w:t>
            </w:r>
          </w:p>
        </w:tc>
        <w:tc>
          <w:tcPr>
            <w:tcW w:w="3260" w:type="dxa"/>
            <w:vAlign w:val="center"/>
          </w:tcPr>
          <w:p>
            <w:pPr>
              <w:keepNext w:val="0"/>
              <w:keepLines w:val="0"/>
              <w:widowControl/>
              <w:suppressLineNumbers w:val="0"/>
              <w:jc w:val="center"/>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单位名称</w:t>
            </w:r>
          </w:p>
        </w:tc>
        <w:tc>
          <w:tcPr>
            <w:tcW w:w="4600" w:type="dxa"/>
            <w:vAlign w:val="center"/>
          </w:tcPr>
          <w:p>
            <w:pPr>
              <w:keepNext w:val="0"/>
              <w:keepLines w:val="0"/>
              <w:widowControl/>
              <w:suppressLineNumbers w:val="0"/>
              <w:jc w:val="center"/>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keepNext w:val="0"/>
              <w:keepLines w:val="0"/>
              <w:widowControl/>
              <w:suppressLineNumbers w:val="0"/>
              <w:jc w:val="center"/>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1</w:t>
            </w:r>
          </w:p>
        </w:tc>
        <w:tc>
          <w:tcPr>
            <w:tcW w:w="3260" w:type="dxa"/>
          </w:tcPr>
          <w:p>
            <w:pPr>
              <w:keepNext w:val="0"/>
              <w:keepLines w:val="0"/>
              <w:widowControl/>
              <w:suppressLineNumbers w:val="0"/>
              <w:jc w:val="left"/>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XX</w:t>
            </w:r>
          </w:p>
        </w:tc>
        <w:tc>
          <w:tcPr>
            <w:tcW w:w="4600" w:type="dxa"/>
          </w:tcPr>
          <w:p>
            <w:pPr>
              <w:keepNext w:val="0"/>
              <w:keepLines w:val="0"/>
              <w:widowControl/>
              <w:suppressLineNumbers w:val="0"/>
              <w:jc w:val="left"/>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财政拨款的行政单位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2</w:t>
            </w:r>
          </w:p>
        </w:tc>
        <w:tc>
          <w:tcPr>
            <w:tcW w:w="3260" w:type="dxa"/>
          </w:tcPr>
          <w:p>
            <w:pPr>
              <w:keepNext w:val="0"/>
              <w:keepLines w:val="0"/>
              <w:widowControl/>
              <w:suppressLineNumbers w:val="0"/>
              <w:jc w:val="left"/>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XX</w:t>
            </w:r>
          </w:p>
        </w:tc>
        <w:tc>
          <w:tcPr>
            <w:tcW w:w="4600" w:type="dxa"/>
          </w:tcPr>
          <w:p>
            <w:pPr>
              <w:keepNext w:val="0"/>
              <w:keepLines w:val="0"/>
              <w:widowControl/>
              <w:suppressLineNumbers w:val="0"/>
              <w:jc w:val="left"/>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参照公务员法管理的事业单位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keepNext w:val="0"/>
              <w:keepLines w:val="0"/>
              <w:widowControl/>
              <w:suppressLineNumbers w:val="0"/>
              <w:jc w:val="center"/>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3</w:t>
            </w:r>
          </w:p>
        </w:tc>
        <w:tc>
          <w:tcPr>
            <w:tcW w:w="3260" w:type="dxa"/>
          </w:tcPr>
          <w:p>
            <w:pPr>
              <w:keepNext w:val="0"/>
              <w:keepLines w:val="0"/>
              <w:widowControl/>
              <w:suppressLineNumbers w:val="0"/>
              <w:jc w:val="left"/>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XX</w:t>
            </w:r>
          </w:p>
        </w:tc>
        <w:tc>
          <w:tcPr>
            <w:tcW w:w="4600" w:type="dxa"/>
          </w:tcPr>
          <w:p>
            <w:pPr>
              <w:keepNext w:val="0"/>
              <w:keepLines w:val="0"/>
              <w:widowControl/>
              <w:suppressLineNumbers w:val="0"/>
              <w:jc w:val="left"/>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keepNext w:val="0"/>
              <w:keepLines w:val="0"/>
              <w:widowControl/>
              <w:suppressLineNumbers w:val="0"/>
              <w:jc w:val="center"/>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4</w:t>
            </w:r>
          </w:p>
        </w:tc>
        <w:tc>
          <w:tcPr>
            <w:tcW w:w="3260" w:type="dxa"/>
          </w:tcPr>
          <w:p>
            <w:pPr>
              <w:keepNext w:val="0"/>
              <w:keepLines w:val="0"/>
              <w:widowControl/>
              <w:suppressLineNumbers w:val="0"/>
              <w:jc w:val="left"/>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XX</w:t>
            </w:r>
          </w:p>
        </w:tc>
        <w:tc>
          <w:tcPr>
            <w:tcW w:w="4600" w:type="dxa"/>
          </w:tcPr>
          <w:p>
            <w:pPr>
              <w:keepNext w:val="0"/>
              <w:keepLines w:val="0"/>
              <w:widowControl/>
              <w:suppressLineNumbers w:val="0"/>
              <w:jc w:val="left"/>
              <w:rPr>
                <w:rFonts w:hint="default" w:ascii="仿宋" w:hAnsi="仿宋" w:eastAsia="仿宋" w:cs="仿宋"/>
                <w:color w:val="000000"/>
                <w:kern w:val="0"/>
                <w:sz w:val="31"/>
                <w:szCs w:val="31"/>
                <w:highlight w:val="none"/>
                <w:vertAlign w:val="baseline"/>
                <w:lang w:val="en-US" w:eastAsia="zh-CN" w:bidi="ar"/>
              </w:rPr>
            </w:pPr>
            <w:r>
              <w:rPr>
                <w:rFonts w:hint="eastAsia" w:ascii="仿宋" w:hAnsi="仿宋" w:eastAsia="仿宋" w:cs="仿宋"/>
                <w:color w:val="000000"/>
                <w:kern w:val="0"/>
                <w:sz w:val="31"/>
                <w:szCs w:val="31"/>
                <w:highlight w:val="none"/>
                <w:vertAlign w:val="baseline"/>
                <w:lang w:val="en-US" w:eastAsia="zh-CN" w:bidi="ar"/>
              </w:rPr>
              <w:t>公益二类事业单位</w:t>
            </w:r>
          </w:p>
        </w:tc>
      </w:tr>
    </w:tbl>
    <w:p>
      <w:pPr>
        <w:spacing w:line="360" w:lineRule="auto"/>
        <w:ind w:firstLine="640" w:firstLineChars="200"/>
        <w:rPr>
          <w:rFonts w:eastAsia="仿宋_GB2312" w:cstheme="minorBidi"/>
          <w:sz w:val="32"/>
          <w:szCs w:val="32"/>
          <w:highlight w:val="none"/>
        </w:rPr>
      </w:pPr>
      <w:r>
        <w:rPr>
          <w:rFonts w:hint="eastAsia" w:eastAsia="仿宋_GB2312" w:cstheme="minorBidi"/>
          <w:sz w:val="32"/>
          <w:szCs w:val="32"/>
          <w:highlight w:val="none"/>
          <w:lang w:eastAsia="zh-CN"/>
        </w:rPr>
        <w:t>（</w:t>
      </w:r>
      <w:r>
        <w:rPr>
          <w:rFonts w:hint="eastAsia" w:eastAsia="仿宋_GB2312" w:cstheme="minorBidi"/>
          <w:i/>
          <w:iCs/>
          <w:sz w:val="32"/>
          <w:szCs w:val="32"/>
          <w:highlight w:val="none"/>
          <w:lang w:val="en-US" w:eastAsia="zh-CN"/>
        </w:rPr>
        <w:t>注：本部门（单位）决算编报单位情况需列表说明本年度纳入部门（单位）决算编报单位的名称。无下级预算单位的部门（单位），也需列表说明决算编报单位情况，否则视同未公开机构设置情况。</w:t>
      </w:r>
      <w:r>
        <w:rPr>
          <w:rFonts w:hint="eastAsia" w:eastAsia="仿宋_GB2312" w:cstheme="minorBidi"/>
          <w:sz w:val="32"/>
          <w:szCs w:val="32"/>
          <w:highlight w:val="none"/>
          <w:lang w:eastAsia="zh-CN"/>
        </w:rPr>
        <w:t>）</w:t>
      </w:r>
    </w:p>
    <w:p>
      <w:pPr>
        <w:spacing w:line="360" w:lineRule="auto"/>
        <w:ind w:firstLine="642" w:firstLineChars="200"/>
        <w:outlineLvl w:val="0"/>
        <w:rPr>
          <w:rFonts w:hint="default" w:eastAsia="黑体" w:cs="黑体"/>
          <w:b/>
          <w:bCs/>
          <w:sz w:val="32"/>
          <w:szCs w:val="36"/>
          <w:highlight w:val="none"/>
          <w:lang w:val="en-US" w:eastAsia="zh-CN"/>
        </w:rPr>
      </w:pPr>
      <w:r>
        <w:rPr>
          <w:rFonts w:hint="eastAsia" w:eastAsia="黑体" w:cs="黑体"/>
          <w:b/>
          <w:bCs/>
          <w:sz w:val="32"/>
          <w:szCs w:val="36"/>
          <w:highlight w:val="none"/>
          <w:lang w:val="en-US" w:eastAsia="zh-CN"/>
        </w:rPr>
        <w:t>三</w:t>
      </w:r>
      <w:r>
        <w:rPr>
          <w:rFonts w:hint="eastAsia" w:eastAsia="黑体" w:cs="黑体"/>
          <w:b/>
          <w:bCs/>
          <w:sz w:val="32"/>
          <w:szCs w:val="36"/>
          <w:highlight w:val="none"/>
        </w:rPr>
        <w:t>、</w:t>
      </w:r>
      <w:r>
        <w:rPr>
          <w:rFonts w:hint="eastAsia" w:eastAsia="黑体" w:cs="黑体"/>
          <w:b/>
          <w:bCs/>
          <w:sz w:val="32"/>
          <w:szCs w:val="36"/>
          <w:highlight w:val="none"/>
          <w:lang w:val="en-US" w:eastAsia="zh-CN"/>
        </w:rPr>
        <w:t>XX年度</w:t>
      </w:r>
      <w:r>
        <w:rPr>
          <w:rFonts w:hint="eastAsia" w:eastAsia="黑体" w:cs="黑体"/>
          <w:b/>
          <w:bCs/>
          <w:sz w:val="32"/>
          <w:szCs w:val="36"/>
          <w:highlight w:val="none"/>
        </w:rPr>
        <w:t>部门（单位）</w:t>
      </w:r>
      <w:r>
        <w:rPr>
          <w:rFonts w:hint="eastAsia" w:eastAsia="黑体" w:cs="黑体"/>
          <w:b/>
          <w:bCs/>
          <w:sz w:val="32"/>
          <w:szCs w:val="36"/>
          <w:highlight w:val="none"/>
          <w:lang w:val="en-US" w:eastAsia="zh-CN"/>
        </w:rPr>
        <w:t>主要工作完成情况</w:t>
      </w:r>
    </w:p>
    <w:p>
      <w:pPr>
        <w:pStyle w:val="6"/>
        <w:tabs>
          <w:tab w:val="left" w:pos="4392"/>
        </w:tabs>
        <w:spacing w:line="509" w:lineRule="exact"/>
        <w:ind w:left="12" w:leftChars="0" w:hanging="12"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eastAsia="zh-CN"/>
        </w:rPr>
        <w:t>第</w:t>
      </w:r>
      <w:r>
        <w:rPr>
          <w:rFonts w:hint="eastAsia" w:ascii="方正小标宋简体" w:hAnsi="方正小标宋简体" w:eastAsia="方正小标宋简体" w:cs="方正小标宋简体"/>
          <w:sz w:val="36"/>
          <w:szCs w:val="36"/>
          <w:highlight w:val="none"/>
          <w:lang w:val="en-US" w:eastAsia="zh-CN"/>
        </w:rPr>
        <w:t>二</w:t>
      </w:r>
      <w:r>
        <w:rPr>
          <w:rFonts w:hint="eastAsia" w:ascii="方正小标宋简体" w:hAnsi="方正小标宋简体" w:eastAsia="方正小标宋简体" w:cs="方正小标宋简体"/>
          <w:sz w:val="36"/>
          <w:szCs w:val="36"/>
          <w:highlight w:val="none"/>
          <w:lang w:eastAsia="zh-CN"/>
        </w:rPr>
        <w:t>部分</w:t>
      </w:r>
      <w:r>
        <w:rPr>
          <w:rFonts w:hint="eastAsia" w:ascii="方正小标宋简体" w:hAnsi="方正小标宋简体" w:eastAsia="方正小标宋简体" w:cs="方正小标宋简体"/>
          <w:sz w:val="36"/>
          <w:szCs w:val="36"/>
          <w:highlight w:val="none"/>
          <w:lang w:val="en-US" w:eastAsia="zh-CN"/>
        </w:rPr>
        <w:t xml:space="preserve">  </w:t>
      </w:r>
      <w:r>
        <w:rPr>
          <w:rFonts w:hint="eastAsia" w:ascii="方正小标宋简体" w:hAnsi="方正小标宋简体" w:eastAsia="方正小标宋简体" w:cs="方正小标宋简体"/>
          <w:sz w:val="36"/>
          <w:szCs w:val="36"/>
          <w:highlight w:val="none"/>
          <w:lang w:eastAsia="zh-CN"/>
        </w:rPr>
        <w:t>XX</w:t>
      </w:r>
      <w:r>
        <w:rPr>
          <w:rFonts w:hint="eastAsia" w:ascii="方正小标宋简体" w:hAnsi="方正小标宋简体" w:eastAsia="方正小标宋简体" w:cs="方正小标宋简体"/>
          <w:sz w:val="36"/>
          <w:szCs w:val="36"/>
          <w:highlight w:val="none"/>
        </w:rPr>
        <w:t>年度部门（单位）决算情况说明</w:t>
      </w:r>
    </w:p>
    <w:p>
      <w:pPr>
        <w:pageBreakBefore w:val="0"/>
        <w:widowControl w:val="0"/>
        <w:kinsoku/>
        <w:wordWrap/>
        <w:overflowPunct/>
        <w:topLinePunct w:val="0"/>
        <w:autoSpaceDE/>
        <w:autoSpaceDN/>
        <w:bidi w:val="0"/>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rPr>
        <w:t>一、收入支出决算总体情况说明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i/>
          <w:iCs/>
          <w:sz w:val="32"/>
          <w:szCs w:val="32"/>
          <w:highlight w:val="none"/>
          <w:lang w:val="en-US" w:eastAsia="zh-CN"/>
        </w:rPr>
        <w:t>（依据“决算公开表01表收支总表”中金额填列）</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u w:val="single"/>
          <w:lang w:val="en-US" w:eastAsia="zh-CN"/>
        </w:rPr>
        <w:t>XX部门（单位）</w:t>
      </w:r>
      <w:r>
        <w:rPr>
          <w:rFonts w:hint="eastAsia" w:ascii="仿宋" w:hAnsi="仿宋" w:eastAsia="仿宋" w:cs="仿宋"/>
          <w:sz w:val="32"/>
          <w:szCs w:val="32"/>
          <w:highlight w:val="none"/>
          <w:lang w:val="en-US" w:eastAsia="zh-CN"/>
        </w:rPr>
        <w:t>XX</w:t>
      </w:r>
      <w:r>
        <w:rPr>
          <w:rFonts w:hint="eastAsia" w:ascii="仿宋" w:hAnsi="仿宋" w:eastAsia="仿宋" w:cs="仿宋"/>
          <w:sz w:val="32"/>
          <w:szCs w:val="32"/>
          <w:highlight w:val="none"/>
          <w:lang w:eastAsia="zh-CN"/>
        </w:rPr>
        <w:t>年度收入、支出决算总计</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万元。与年初预算相比，收、支总计</w:t>
      </w:r>
      <w:r>
        <w:rPr>
          <w:rFonts w:hint="eastAsia" w:ascii="仿宋" w:hAnsi="仿宋" w:eastAsia="仿宋" w:cs="仿宋"/>
          <w:sz w:val="32"/>
          <w:szCs w:val="32"/>
          <w:highlight w:val="none"/>
          <w:lang w:val="en-US" w:eastAsia="zh-CN"/>
        </w:rPr>
        <w:t>各</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万元，增长（</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，变动原因：</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rPr>
        <w:t>相比，收、支总计各增加（减少）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%。其中：</w:t>
      </w:r>
    </w:p>
    <w:p>
      <w:pPr>
        <w:pStyle w:val="8"/>
        <w:keepNext w:val="0"/>
        <w:keepLines w:val="0"/>
        <w:pageBreakBefore w:val="0"/>
        <w:widowControl w:val="0"/>
        <w:tabs>
          <w:tab w:val="left" w:pos="4275"/>
        </w:tabs>
        <w:kinsoku/>
        <w:wordWrap/>
        <w:overflowPunct/>
        <w:topLinePunct w:val="0"/>
        <w:autoSpaceDE/>
        <w:autoSpaceDN/>
        <w:bidi w:val="0"/>
        <w:adjustRightInd/>
        <w:snapToGrid/>
        <w:spacing w:after="0" w:line="560" w:lineRule="exact"/>
        <w:ind w:firstLine="642"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（一）收入决算总计</w:t>
      </w:r>
      <w:r>
        <w:rPr>
          <w:rFonts w:hint="eastAsia" w:ascii="仿宋" w:hAnsi="仿宋" w:eastAsia="仿宋" w:cs="仿宋"/>
          <w:sz w:val="32"/>
          <w:szCs w:val="32"/>
          <w:highlight w:val="none"/>
          <w:u w:val="single"/>
          <w:lang w:val="en-US" w:eastAsia="zh-CN"/>
        </w:rPr>
        <w:t xml:space="preserve">    </w:t>
      </w:r>
      <w:r>
        <w:rPr>
          <w:rFonts w:hint="eastAsia" w:ascii="楷体" w:hAnsi="楷体" w:eastAsia="楷体" w:cs="楷体"/>
          <w:b/>
          <w:bCs/>
          <w:sz w:val="32"/>
          <w:szCs w:val="32"/>
          <w:highlight w:val="none"/>
        </w:rPr>
        <w:t>万元。包括：</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本年收入决算合计</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rPr>
        <w:t>相比，增加（减少）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%，变动原因：……。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使用非财政拨款结余</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rPr>
        <w:t>相比，增加（减少）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%，变动原因：……。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年初结转和结余</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rPr>
        <w:t>相比，增加（减少）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%，变动原因：……。</w:t>
      </w:r>
    </w:p>
    <w:p>
      <w:pPr>
        <w:pStyle w:val="8"/>
        <w:keepNext w:val="0"/>
        <w:keepLines w:val="0"/>
        <w:pageBreakBefore w:val="0"/>
        <w:widowControl w:val="0"/>
        <w:tabs>
          <w:tab w:val="left" w:pos="4275"/>
        </w:tabs>
        <w:kinsoku/>
        <w:wordWrap/>
        <w:overflowPunct/>
        <w:topLinePunct w:val="0"/>
        <w:autoSpaceDE/>
        <w:autoSpaceDN/>
        <w:bidi w:val="0"/>
        <w:adjustRightInd/>
        <w:snapToGrid/>
        <w:spacing w:after="0" w:line="560" w:lineRule="exact"/>
        <w:ind w:firstLine="642"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（二）支出决算总计</w:t>
      </w:r>
      <w:r>
        <w:rPr>
          <w:rFonts w:hint="eastAsia" w:ascii="仿宋" w:hAnsi="仿宋" w:eastAsia="仿宋" w:cs="仿宋"/>
          <w:sz w:val="32"/>
          <w:szCs w:val="32"/>
          <w:highlight w:val="none"/>
          <w:u w:val="single"/>
          <w:lang w:val="en-US" w:eastAsia="zh-CN"/>
        </w:rPr>
        <w:t xml:space="preserve">    </w:t>
      </w:r>
      <w:r>
        <w:rPr>
          <w:rFonts w:hint="eastAsia" w:ascii="楷体" w:hAnsi="楷体" w:eastAsia="楷体" w:cs="楷体"/>
          <w:b/>
          <w:bCs/>
          <w:sz w:val="32"/>
          <w:szCs w:val="32"/>
          <w:highlight w:val="none"/>
        </w:rPr>
        <w:t>万元。包括：</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本年支出决算合计</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rPr>
        <w:t>相比，增加（减少）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%，变动原因：……。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2．结余分配</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万元。结余分配事项：……。与上年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rPr>
        <w:t>相比，增加（减少）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%，变动原因：……。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年末结转和结余</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万元。结转和结余事项：……。与上年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rPr>
        <w:t>相比，增加（减少）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%，变动原因：……。</w:t>
      </w:r>
    </w:p>
    <w:p>
      <w:pPr>
        <w:pageBreakBefore w:val="0"/>
        <w:widowControl w:val="0"/>
        <w:kinsoku/>
        <w:wordWrap/>
        <w:overflowPunct/>
        <w:topLinePunct w:val="0"/>
        <w:autoSpaceDE/>
        <w:autoSpaceDN/>
        <w:bidi w:val="0"/>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rPr>
        <w:t>二、收入决算情况说明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i/>
          <w:iCs/>
          <w:sz w:val="32"/>
          <w:szCs w:val="32"/>
          <w:highlight w:val="none"/>
        </w:rPr>
        <w:t>反映部门（单位）年度总体收入</w:t>
      </w:r>
      <w:r>
        <w:rPr>
          <w:rFonts w:hint="eastAsia" w:ascii="仿宋" w:hAnsi="仿宋" w:eastAsia="仿宋" w:cs="仿宋"/>
          <w:i/>
          <w:iCs/>
          <w:sz w:val="32"/>
          <w:szCs w:val="32"/>
          <w:highlight w:val="none"/>
          <w:lang w:val="en-US" w:eastAsia="zh-CN"/>
        </w:rPr>
        <w:t>决算</w:t>
      </w:r>
      <w:r>
        <w:rPr>
          <w:rFonts w:hint="eastAsia" w:ascii="仿宋" w:hAnsi="仿宋" w:eastAsia="仿宋" w:cs="仿宋"/>
          <w:i/>
          <w:iCs/>
          <w:sz w:val="32"/>
          <w:szCs w:val="32"/>
          <w:highlight w:val="none"/>
        </w:rPr>
        <w:t>情况。</w:t>
      </w:r>
      <w:r>
        <w:rPr>
          <w:rFonts w:hint="eastAsia" w:ascii="仿宋" w:hAnsi="仿宋" w:eastAsia="仿宋" w:cs="仿宋"/>
          <w:i/>
          <w:iCs/>
          <w:sz w:val="32"/>
          <w:szCs w:val="32"/>
          <w:highlight w:val="none"/>
          <w:lang w:val="en-US" w:eastAsia="zh-CN"/>
        </w:rPr>
        <w:t>按照“公开02表收入支出决算总表</w:t>
      </w: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分析填列</w:t>
      </w: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本年收入决算总计</w:t>
      </w: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数值应与“公开01表收入支出决算总表的总计数”填列</w:t>
      </w:r>
      <w:r>
        <w:rPr>
          <w:rFonts w:hint="eastAsia" w:ascii="仿宋" w:hAnsi="仿宋" w:eastAsia="仿宋" w:cs="仿宋"/>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u w:val="single"/>
          <w:lang w:val="en-US" w:eastAsia="zh-CN"/>
        </w:rPr>
        <w:t>XX部门（单位）</w:t>
      </w:r>
      <w:r>
        <w:rPr>
          <w:rFonts w:hint="eastAsia" w:ascii="仿宋" w:hAnsi="仿宋" w:eastAsia="仿宋" w:cs="仿宋"/>
          <w:sz w:val="32"/>
          <w:szCs w:val="32"/>
          <w:highlight w:val="none"/>
          <w:lang w:eastAsia="zh-CN"/>
        </w:rPr>
        <w:t>XX</w:t>
      </w:r>
      <w:r>
        <w:rPr>
          <w:rFonts w:hint="eastAsia" w:ascii="仿宋" w:hAnsi="仿宋" w:eastAsia="仿宋" w:cs="仿宋"/>
          <w:sz w:val="32"/>
          <w:szCs w:val="32"/>
          <w:highlight w:val="none"/>
        </w:rPr>
        <w:t>年度本年收入决算</w:t>
      </w:r>
      <w:r>
        <w:rPr>
          <w:rFonts w:hint="eastAsia" w:ascii="仿宋" w:hAnsi="仿宋" w:eastAsia="仿宋" w:cs="仿宋"/>
          <w:sz w:val="32"/>
          <w:szCs w:val="32"/>
          <w:highlight w:val="none"/>
          <w:lang w:val="en-US" w:eastAsia="zh-CN"/>
        </w:rPr>
        <w:t>总计</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包括本年收入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使用非财政拨款结余</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年初结余和结转</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本年一般公共预算</w:t>
      </w:r>
      <w:r>
        <w:rPr>
          <w:rFonts w:hint="eastAsia" w:ascii="仿宋" w:hAnsi="仿宋" w:eastAsia="仿宋" w:cs="仿宋"/>
          <w:sz w:val="32"/>
          <w:szCs w:val="32"/>
          <w:highlight w:val="none"/>
        </w:rPr>
        <w:t>财政拨款收入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本年政府性基金预算财政拨款收入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本年国有资本经营预算财政拨款收入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本年</w:t>
      </w:r>
      <w:r>
        <w:rPr>
          <w:rFonts w:hint="eastAsia" w:ascii="仿宋" w:hAnsi="仿宋" w:eastAsia="仿宋" w:cs="仿宋"/>
          <w:sz w:val="32"/>
          <w:szCs w:val="32"/>
          <w:highlight w:val="none"/>
        </w:rPr>
        <w:t>上级补助收入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本年</w:t>
      </w:r>
      <w:r>
        <w:rPr>
          <w:rFonts w:hint="eastAsia" w:ascii="仿宋" w:hAnsi="仿宋" w:eastAsia="仿宋" w:cs="仿宋"/>
          <w:sz w:val="32"/>
          <w:szCs w:val="32"/>
          <w:highlight w:val="none"/>
        </w:rPr>
        <w:t>事业收入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本年</w:t>
      </w:r>
      <w:r>
        <w:rPr>
          <w:rFonts w:hint="eastAsia" w:ascii="仿宋" w:hAnsi="仿宋" w:eastAsia="仿宋" w:cs="仿宋"/>
          <w:sz w:val="32"/>
          <w:szCs w:val="32"/>
          <w:highlight w:val="none"/>
        </w:rPr>
        <w:t>经营收入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本年</w:t>
      </w:r>
      <w:r>
        <w:rPr>
          <w:rFonts w:hint="eastAsia" w:ascii="仿宋" w:hAnsi="仿宋" w:eastAsia="仿宋" w:cs="仿宋"/>
          <w:sz w:val="32"/>
          <w:szCs w:val="32"/>
          <w:highlight w:val="none"/>
        </w:rPr>
        <w:t>附属单位上缴收入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本年</w:t>
      </w:r>
      <w:r>
        <w:rPr>
          <w:rFonts w:hint="eastAsia" w:ascii="仿宋" w:hAnsi="仿宋" w:eastAsia="仿宋" w:cs="仿宋"/>
          <w:sz w:val="32"/>
          <w:szCs w:val="32"/>
          <w:highlight w:val="none"/>
        </w:rPr>
        <w:t>其他收入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仿宋" w:hAnsi="仿宋" w:eastAsia="仿宋" w:cs="仿宋"/>
          <w:sz w:val="32"/>
          <w:szCs w:val="32"/>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图1.收入决算图</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default" w:ascii="仿宋" w:hAnsi="仿宋" w:eastAsia="仿宋" w:cs="仿宋"/>
          <w:sz w:val="32"/>
          <w:szCs w:val="32"/>
          <w:highlight w:val="none"/>
          <w:lang w:val="en-US" w:eastAsia="zh-CN"/>
        </w:rPr>
      </w:pPr>
    </w:p>
    <w:p>
      <w:pPr>
        <w:pageBreakBefore w:val="0"/>
        <w:widowControl w:val="0"/>
        <w:kinsoku/>
        <w:wordWrap/>
        <w:overflowPunct/>
        <w:topLinePunct w:val="0"/>
        <w:autoSpaceDE/>
        <w:autoSpaceDN/>
        <w:bidi w:val="0"/>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rPr>
        <w:t>三、支出决算情况说明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i/>
          <w:iCs/>
          <w:sz w:val="32"/>
          <w:szCs w:val="32"/>
          <w:highlight w:val="none"/>
        </w:rPr>
        <w:t>反映部门（单位）年度总体</w:t>
      </w:r>
      <w:r>
        <w:rPr>
          <w:rFonts w:hint="eastAsia" w:ascii="仿宋" w:hAnsi="仿宋" w:eastAsia="仿宋" w:cs="仿宋"/>
          <w:i/>
          <w:iCs/>
          <w:sz w:val="32"/>
          <w:szCs w:val="32"/>
          <w:highlight w:val="none"/>
          <w:lang w:val="en-US" w:eastAsia="zh-CN"/>
        </w:rPr>
        <w:t>支出决算</w:t>
      </w:r>
      <w:r>
        <w:rPr>
          <w:rFonts w:hint="eastAsia" w:ascii="仿宋" w:hAnsi="仿宋" w:eastAsia="仿宋" w:cs="仿宋"/>
          <w:i/>
          <w:iCs/>
          <w:sz w:val="32"/>
          <w:szCs w:val="32"/>
          <w:highlight w:val="none"/>
        </w:rPr>
        <w:t>情况。填列数应</w:t>
      </w:r>
      <w:r>
        <w:rPr>
          <w:rFonts w:hint="eastAsia" w:ascii="仿宋" w:hAnsi="仿宋" w:eastAsia="仿宋" w:cs="仿宋"/>
          <w:i/>
          <w:iCs/>
          <w:sz w:val="32"/>
          <w:szCs w:val="32"/>
          <w:highlight w:val="none"/>
          <w:lang w:val="en-US" w:eastAsia="zh-CN"/>
        </w:rPr>
        <w:t>与决算“公开03表支出决算表”支出</w:t>
      </w:r>
      <w:r>
        <w:rPr>
          <w:rFonts w:hint="eastAsia" w:ascii="仿宋" w:hAnsi="仿宋" w:eastAsia="仿宋" w:cs="仿宋"/>
          <w:i/>
          <w:iCs/>
          <w:sz w:val="32"/>
          <w:szCs w:val="32"/>
          <w:highlight w:val="none"/>
        </w:rPr>
        <w:t>数一致。</w:t>
      </w:r>
      <w:r>
        <w:rPr>
          <w:rFonts w:hint="eastAsia" w:ascii="仿宋" w:hAnsi="仿宋" w:eastAsia="仿宋" w:cs="仿宋"/>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u w:val="single"/>
          <w:lang w:val="en-US" w:eastAsia="zh-CN"/>
        </w:rPr>
        <w:t>XX部门（单位）</w:t>
      </w:r>
      <w:r>
        <w:rPr>
          <w:rFonts w:hint="eastAsia" w:ascii="仿宋" w:hAnsi="仿宋" w:eastAsia="仿宋" w:cs="仿宋"/>
          <w:sz w:val="32"/>
          <w:szCs w:val="32"/>
          <w:highlight w:val="none"/>
          <w:lang w:eastAsia="zh-CN"/>
        </w:rPr>
        <w:t>XX年度本年支出决算合计</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万元，其中：</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本年</w:t>
      </w:r>
      <w:r>
        <w:rPr>
          <w:rFonts w:hint="eastAsia" w:ascii="仿宋" w:hAnsi="仿宋" w:eastAsia="仿宋" w:cs="仿宋"/>
          <w:sz w:val="32"/>
          <w:szCs w:val="32"/>
          <w:highlight w:val="none"/>
          <w:lang w:eastAsia="zh-CN"/>
        </w:rPr>
        <w:t>基本支出</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本年</w:t>
      </w:r>
      <w:r>
        <w:rPr>
          <w:rFonts w:hint="eastAsia" w:ascii="仿宋" w:hAnsi="仿宋" w:eastAsia="仿宋" w:cs="仿宋"/>
          <w:sz w:val="32"/>
          <w:szCs w:val="32"/>
          <w:highlight w:val="none"/>
          <w:lang w:eastAsia="zh-CN"/>
        </w:rPr>
        <w:t>项目支出</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本年</w:t>
      </w:r>
      <w:r>
        <w:rPr>
          <w:rFonts w:hint="eastAsia" w:ascii="仿宋" w:hAnsi="仿宋" w:eastAsia="仿宋" w:cs="仿宋"/>
          <w:sz w:val="32"/>
          <w:szCs w:val="32"/>
          <w:highlight w:val="none"/>
          <w:lang w:eastAsia="zh-CN"/>
        </w:rPr>
        <w:t>上缴上级支出</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本年</w:t>
      </w:r>
      <w:r>
        <w:rPr>
          <w:rFonts w:hint="eastAsia" w:ascii="仿宋" w:hAnsi="仿宋" w:eastAsia="仿宋" w:cs="仿宋"/>
          <w:sz w:val="32"/>
          <w:szCs w:val="32"/>
          <w:highlight w:val="none"/>
          <w:lang w:eastAsia="zh-CN"/>
        </w:rPr>
        <w:t>经营支出</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本年</w:t>
      </w:r>
      <w:r>
        <w:rPr>
          <w:rFonts w:hint="eastAsia" w:ascii="仿宋" w:hAnsi="仿宋" w:eastAsia="仿宋" w:cs="仿宋"/>
          <w:sz w:val="32"/>
          <w:szCs w:val="32"/>
          <w:highlight w:val="none"/>
          <w:lang w:eastAsia="zh-CN"/>
        </w:rPr>
        <w:t>对附属单位补助支出</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图2.支出决算图</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 w:hAnsi="仿宋" w:eastAsia="仿宋" w:cs="仿宋"/>
          <w:sz w:val="32"/>
          <w:szCs w:val="32"/>
          <w:highlight w:val="none"/>
          <w:lang w:val="en-US" w:eastAsia="zh-CN"/>
        </w:rPr>
      </w:pPr>
    </w:p>
    <w:p>
      <w:pPr>
        <w:pageBreakBefore w:val="0"/>
        <w:widowControl w:val="0"/>
        <w:kinsoku/>
        <w:wordWrap/>
        <w:overflowPunct/>
        <w:topLinePunct w:val="0"/>
        <w:autoSpaceDE/>
        <w:autoSpaceDN/>
        <w:bidi w:val="0"/>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rPr>
        <w:t>四、财政拨款收入支出决算总体情况说明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反映部门（单位）年度财政拨款总体收支决算情况。财政拨款收入数、支出数应与“公开04表《财政拨款收入支出决算总表”数对应一致。</w:t>
      </w:r>
      <w:r>
        <w:rPr>
          <w:rFonts w:hint="eastAsia" w:ascii="仿宋" w:hAnsi="仿宋" w:eastAsia="仿宋" w:cs="仿宋"/>
          <w:i/>
          <w:iCs/>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u w:val="single"/>
          <w:lang w:val="en-US" w:eastAsia="zh-CN"/>
        </w:rPr>
        <w:t xml:space="preserve">XX部门（单位）   </w:t>
      </w:r>
      <w:r>
        <w:rPr>
          <w:rFonts w:hint="eastAsia" w:ascii="仿宋" w:hAnsi="仿宋" w:eastAsia="仿宋" w:cs="仿宋"/>
          <w:sz w:val="32"/>
          <w:szCs w:val="32"/>
          <w:highlight w:val="none"/>
          <w:lang w:eastAsia="zh-CN"/>
        </w:rPr>
        <w:t>XX年度财政拨款收入、支出决算总计</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万元，与年初预算相比，收、支总计</w:t>
      </w:r>
      <w:r>
        <w:rPr>
          <w:rFonts w:hint="eastAsia" w:ascii="仿宋" w:hAnsi="仿宋" w:eastAsia="仿宋" w:cs="仿宋"/>
          <w:sz w:val="32"/>
          <w:szCs w:val="32"/>
          <w:highlight w:val="none"/>
          <w:lang w:val="en-US" w:eastAsia="zh-CN"/>
        </w:rPr>
        <w:t>各</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万元，增长（</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%，变动原因：……；与上年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lang w:eastAsia="zh-CN"/>
        </w:rPr>
        <w:t>相比，收、支总计各增加（减少）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%，变动原因：……。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rPr>
        <w:t>五、</w:t>
      </w:r>
      <w:r>
        <w:rPr>
          <w:rFonts w:hint="eastAsia" w:eastAsia="黑体" w:cs="黑体"/>
          <w:b/>
          <w:bCs/>
          <w:sz w:val="32"/>
          <w:szCs w:val="36"/>
          <w:highlight w:val="none"/>
          <w:lang w:val="en-US" w:eastAsia="zh-CN"/>
        </w:rPr>
        <w:t>一般公共预算支出</w:t>
      </w:r>
      <w:r>
        <w:rPr>
          <w:rFonts w:hint="eastAsia" w:eastAsia="黑体" w:cs="黑体"/>
          <w:b/>
          <w:bCs/>
          <w:sz w:val="32"/>
          <w:szCs w:val="36"/>
          <w:highlight w:val="none"/>
        </w:rPr>
        <w:t>决算情况说明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反映部门（单位）年度一般公共决算支出情况。</w:t>
      </w:r>
      <w:r>
        <w:rPr>
          <w:rFonts w:hint="eastAsia" w:ascii="仿宋" w:hAnsi="仿宋" w:eastAsia="仿宋" w:cs="仿宋"/>
          <w:i/>
          <w:iCs/>
          <w:sz w:val="32"/>
          <w:szCs w:val="32"/>
          <w:highlight w:val="none"/>
          <w:lang w:eastAsia="zh-CN"/>
        </w:rPr>
        <w:t>按照“公开0</w:t>
      </w:r>
      <w:r>
        <w:rPr>
          <w:rFonts w:hint="eastAsia" w:ascii="仿宋" w:hAnsi="仿宋" w:eastAsia="仿宋" w:cs="仿宋"/>
          <w:i/>
          <w:iCs/>
          <w:sz w:val="32"/>
          <w:szCs w:val="32"/>
          <w:highlight w:val="none"/>
          <w:lang w:val="en-US" w:eastAsia="zh-CN"/>
        </w:rPr>
        <w:t>6</w:t>
      </w:r>
      <w:r>
        <w:rPr>
          <w:rFonts w:hint="eastAsia" w:ascii="仿宋" w:hAnsi="仿宋" w:eastAsia="仿宋" w:cs="仿宋"/>
          <w:i/>
          <w:iCs/>
          <w:sz w:val="32"/>
          <w:szCs w:val="32"/>
          <w:highlight w:val="none"/>
          <w:lang w:eastAsia="zh-CN"/>
        </w:rPr>
        <w:t>表</w:t>
      </w:r>
      <w:r>
        <w:rPr>
          <w:rFonts w:hint="eastAsia" w:ascii="仿宋" w:hAnsi="仿宋" w:eastAsia="仿宋" w:cs="仿宋"/>
          <w:i/>
          <w:iCs/>
          <w:sz w:val="32"/>
          <w:szCs w:val="32"/>
          <w:highlight w:val="none"/>
          <w:lang w:val="en-US" w:eastAsia="zh-CN"/>
        </w:rPr>
        <w:t>一般公共预算财政拨款支出决算表</w:t>
      </w:r>
      <w:r>
        <w:rPr>
          <w:rFonts w:hint="eastAsia" w:ascii="仿宋" w:hAnsi="仿宋" w:eastAsia="仿宋" w:cs="仿宋"/>
          <w:i/>
          <w:iCs/>
          <w:sz w:val="32"/>
          <w:szCs w:val="32"/>
          <w:highlight w:val="none"/>
          <w:lang w:eastAsia="zh-CN"/>
        </w:rPr>
        <w:t>”中的功能分类“项”级科目，并结合本部门（单位）</w:t>
      </w:r>
      <w:r>
        <w:rPr>
          <w:rFonts w:hint="eastAsia" w:ascii="仿宋" w:hAnsi="仿宋" w:eastAsia="仿宋" w:cs="仿宋"/>
          <w:i/>
          <w:iCs/>
          <w:sz w:val="32"/>
          <w:szCs w:val="32"/>
          <w:highlight w:val="none"/>
          <w:lang w:val="en-US" w:eastAsia="zh-CN"/>
        </w:rPr>
        <w:t>同一年度</w:t>
      </w:r>
      <w:r>
        <w:rPr>
          <w:rFonts w:hint="eastAsia" w:ascii="仿宋" w:hAnsi="仿宋" w:eastAsia="仿宋" w:cs="仿宋"/>
          <w:i/>
          <w:iCs/>
          <w:sz w:val="32"/>
          <w:szCs w:val="32"/>
          <w:highlight w:val="none"/>
          <w:lang w:eastAsia="zh-CN"/>
        </w:rPr>
        <w:t>部门（</w:t>
      </w:r>
      <w:r>
        <w:rPr>
          <w:rFonts w:hint="eastAsia" w:ascii="仿宋" w:hAnsi="仿宋" w:eastAsia="仿宋" w:cs="仿宋"/>
          <w:i/>
          <w:iCs/>
          <w:sz w:val="32"/>
          <w:szCs w:val="32"/>
          <w:highlight w:val="none"/>
          <w:lang w:val="en-US" w:eastAsia="zh-CN"/>
        </w:rPr>
        <w:t>单位</w:t>
      </w: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预算“</w:t>
      </w:r>
      <w:r>
        <w:rPr>
          <w:rFonts w:hint="eastAsia" w:ascii="仿宋" w:hAnsi="仿宋" w:eastAsia="仿宋" w:cs="仿宋"/>
          <w:i/>
          <w:iCs/>
          <w:sz w:val="32"/>
          <w:szCs w:val="32"/>
          <w:highlight w:val="none"/>
          <w:lang w:eastAsia="zh-CN"/>
        </w:rPr>
        <w:t>公开0</w:t>
      </w:r>
      <w:r>
        <w:rPr>
          <w:rFonts w:hint="eastAsia" w:ascii="仿宋" w:hAnsi="仿宋" w:eastAsia="仿宋" w:cs="仿宋"/>
          <w:i/>
          <w:iCs/>
          <w:sz w:val="32"/>
          <w:szCs w:val="32"/>
          <w:highlight w:val="none"/>
          <w:lang w:val="en-US" w:eastAsia="zh-CN"/>
        </w:rPr>
        <w:t>4</w:t>
      </w:r>
      <w:r>
        <w:rPr>
          <w:rFonts w:hint="eastAsia" w:ascii="仿宋" w:hAnsi="仿宋" w:eastAsia="仿宋" w:cs="仿宋"/>
          <w:i/>
          <w:iCs/>
          <w:sz w:val="32"/>
          <w:szCs w:val="32"/>
          <w:highlight w:val="none"/>
          <w:lang w:eastAsia="zh-CN"/>
        </w:rPr>
        <w:t>表</w:t>
      </w:r>
      <w:r>
        <w:rPr>
          <w:rFonts w:hint="eastAsia" w:ascii="仿宋" w:hAnsi="仿宋" w:eastAsia="仿宋" w:cs="仿宋"/>
          <w:i/>
          <w:iCs/>
          <w:sz w:val="32"/>
          <w:szCs w:val="32"/>
          <w:highlight w:val="none"/>
          <w:lang w:val="en-US" w:eastAsia="zh-CN"/>
        </w:rPr>
        <w:t>财政拨款收支总表”对应说明</w:t>
      </w: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并</w:t>
      </w:r>
      <w:r>
        <w:rPr>
          <w:rFonts w:hint="eastAsia" w:ascii="仿宋" w:hAnsi="仿宋" w:eastAsia="仿宋" w:cs="仿宋"/>
          <w:i/>
          <w:iCs/>
          <w:sz w:val="32"/>
          <w:szCs w:val="32"/>
          <w:highlight w:val="none"/>
          <w:lang w:eastAsia="zh-CN"/>
        </w:rPr>
        <w:t>说明与预算差异情况。）</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一般公共预算既包括使用本年从本级财政取得的财政拨款发生的支出，也包括使用上年度财政拨款结转资金发生的支出。</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u w:val="single"/>
          <w:lang w:val="en-US" w:eastAsia="zh-CN"/>
        </w:rPr>
        <w:t xml:space="preserve">XX部门（单位）   </w:t>
      </w:r>
      <w:r>
        <w:rPr>
          <w:rFonts w:hint="eastAsia" w:ascii="仿宋" w:hAnsi="仿宋" w:eastAsia="仿宋" w:cs="仿宋"/>
          <w:sz w:val="32"/>
          <w:szCs w:val="32"/>
          <w:highlight w:val="none"/>
          <w:lang w:eastAsia="zh-CN"/>
        </w:rPr>
        <w:t>XX年度一般公共预算财政拨款支出决算</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万元。与年初预算</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万元相比，完成年初预算的</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%。其中：</w:t>
      </w:r>
    </w:p>
    <w:p>
      <w:pPr>
        <w:pStyle w:val="8"/>
        <w:keepNext w:val="0"/>
        <w:keepLines w:val="0"/>
        <w:pageBreakBefore w:val="0"/>
        <w:widowControl w:val="0"/>
        <w:tabs>
          <w:tab w:val="left" w:pos="4275"/>
        </w:tabs>
        <w:kinsoku/>
        <w:wordWrap/>
        <w:overflowPunct/>
        <w:topLinePunct w:val="0"/>
        <w:autoSpaceDE/>
        <w:autoSpaceDN/>
        <w:bidi w:val="0"/>
        <w:adjustRightInd/>
        <w:snapToGrid/>
        <w:spacing w:after="0" w:line="560" w:lineRule="exact"/>
        <w:ind w:firstLine="642"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（一）一般公共服务（类）</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1．人大事务（款）行政运行（项）。年初预算</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万元，支出决算</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万元，完成年初预算的</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%。决算数与年初预算数的差异原因：……。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w:t>
      </w:r>
    </w:p>
    <w:p>
      <w:pPr>
        <w:pStyle w:val="8"/>
        <w:keepNext w:val="0"/>
        <w:keepLines w:val="0"/>
        <w:pageBreakBefore w:val="0"/>
        <w:widowControl w:val="0"/>
        <w:tabs>
          <w:tab w:val="left" w:pos="4275"/>
        </w:tabs>
        <w:kinsoku/>
        <w:wordWrap/>
        <w:overflowPunct/>
        <w:topLinePunct w:val="0"/>
        <w:autoSpaceDE/>
        <w:autoSpaceDN/>
        <w:bidi w:val="0"/>
        <w:adjustRightInd/>
        <w:snapToGrid/>
        <w:spacing w:after="0" w:line="560" w:lineRule="exact"/>
        <w:ind w:firstLine="642"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（二）公共安全（类）</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1．公安（款）行政运行（项）。年初预算</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万元，支出决算</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万元，完成年初预算的</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%。决算数与年初预算数的差异原因：……。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p>
    <w:p>
      <w:pPr>
        <w:pageBreakBefore w:val="0"/>
        <w:widowControl w:val="0"/>
        <w:kinsoku/>
        <w:wordWrap/>
        <w:overflowPunct/>
        <w:topLinePunct w:val="0"/>
        <w:autoSpaceDE/>
        <w:autoSpaceDN/>
        <w:bidi w:val="0"/>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lang w:val="en-US" w:eastAsia="zh-CN"/>
        </w:rPr>
        <w:t>六</w:t>
      </w:r>
      <w:r>
        <w:rPr>
          <w:rFonts w:hint="eastAsia" w:eastAsia="黑体" w:cs="黑体"/>
          <w:b/>
          <w:bCs/>
          <w:sz w:val="32"/>
          <w:szCs w:val="36"/>
          <w:highlight w:val="none"/>
        </w:rPr>
        <w:t>、一般公共预算基本支出决算情况说明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i/>
          <w:iCs/>
          <w:sz w:val="32"/>
          <w:szCs w:val="32"/>
          <w:highlight w:val="none"/>
          <w:lang w:eastAsia="zh-CN"/>
        </w:rPr>
      </w:pP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反映部门（单位）年度一般公共预算基本支出决算情况。</w:t>
      </w:r>
      <w:r>
        <w:rPr>
          <w:rFonts w:hint="eastAsia" w:ascii="仿宋" w:hAnsi="仿宋" w:eastAsia="仿宋" w:cs="仿宋"/>
          <w:i/>
          <w:iCs/>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u w:val="single"/>
          <w:lang w:val="en-US" w:eastAsia="zh-CN"/>
        </w:rPr>
        <w:t xml:space="preserve">XX部门（单位）   </w:t>
      </w:r>
      <w:r>
        <w:rPr>
          <w:rFonts w:hint="eastAsia" w:ascii="仿宋" w:hAnsi="仿宋" w:eastAsia="仿宋" w:cs="仿宋"/>
          <w:sz w:val="32"/>
          <w:szCs w:val="32"/>
          <w:highlight w:val="none"/>
          <w:lang w:eastAsia="zh-CN"/>
        </w:rPr>
        <w:t>XX年度一般公共预算财政拨款基本支出决算</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万元，其中：</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（一）人员经费</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bCs/>
          <w:sz w:val="32"/>
          <w:szCs w:val="32"/>
          <w:highlight w:val="none"/>
          <w:lang w:eastAsia="zh-CN"/>
        </w:rPr>
        <w:t>万元</w:t>
      </w:r>
      <w:r>
        <w:rPr>
          <w:rFonts w:hint="eastAsia" w:ascii="仿宋" w:hAnsi="仿宋" w:eastAsia="仿宋" w:cs="仿宋"/>
          <w:sz w:val="32"/>
          <w:szCs w:val="32"/>
          <w:highlight w:val="none"/>
          <w:lang w:eastAsia="zh-CN"/>
        </w:rPr>
        <w:t>。主要包括：基本工资、津贴补贴、奖金、社会保障缴费、伙食补助费、绩效工资、其他工资福利支出、离休费、退休费、抚恤金、生活补助、医疗费、奖励金、住房公积金、提租补贴、其他对个人和家庭的补助支出等。</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i/>
          <w:iCs/>
          <w:sz w:val="32"/>
          <w:szCs w:val="32"/>
          <w:highlight w:val="none"/>
          <w:lang w:eastAsia="zh-CN"/>
        </w:rPr>
        <w:t>按“公开0</w:t>
      </w:r>
      <w:r>
        <w:rPr>
          <w:rFonts w:hint="eastAsia" w:ascii="仿宋" w:hAnsi="仿宋" w:eastAsia="仿宋" w:cs="仿宋"/>
          <w:i/>
          <w:iCs/>
          <w:sz w:val="32"/>
          <w:szCs w:val="32"/>
          <w:highlight w:val="none"/>
          <w:lang w:val="en-US" w:eastAsia="zh-CN"/>
        </w:rPr>
        <w:t>7</w:t>
      </w:r>
      <w:r>
        <w:rPr>
          <w:rFonts w:hint="eastAsia" w:ascii="仿宋" w:hAnsi="仿宋" w:eastAsia="仿宋" w:cs="仿宋"/>
          <w:i/>
          <w:iCs/>
          <w:sz w:val="32"/>
          <w:szCs w:val="32"/>
          <w:highlight w:val="none"/>
          <w:lang w:eastAsia="zh-CN"/>
        </w:rPr>
        <w:t>表一般公共预算</w:t>
      </w:r>
      <w:r>
        <w:rPr>
          <w:rFonts w:hint="eastAsia" w:ascii="仿宋" w:hAnsi="仿宋" w:eastAsia="仿宋" w:cs="仿宋"/>
          <w:i/>
          <w:iCs/>
          <w:sz w:val="32"/>
          <w:szCs w:val="32"/>
          <w:highlight w:val="none"/>
          <w:lang w:val="en-US" w:eastAsia="zh-CN"/>
        </w:rPr>
        <w:t>财政拨款</w:t>
      </w:r>
      <w:r>
        <w:rPr>
          <w:rFonts w:hint="eastAsia" w:ascii="仿宋" w:hAnsi="仿宋" w:eastAsia="仿宋" w:cs="仿宋"/>
          <w:i/>
          <w:iCs/>
          <w:sz w:val="32"/>
          <w:szCs w:val="32"/>
          <w:highlight w:val="none"/>
          <w:lang w:eastAsia="zh-CN"/>
        </w:rPr>
        <w:t>基本支出</w:t>
      </w:r>
      <w:r>
        <w:rPr>
          <w:rFonts w:hint="eastAsia" w:ascii="仿宋" w:hAnsi="仿宋" w:eastAsia="仿宋" w:cs="仿宋"/>
          <w:i/>
          <w:iCs/>
          <w:sz w:val="32"/>
          <w:szCs w:val="32"/>
          <w:highlight w:val="none"/>
          <w:lang w:val="en-US" w:eastAsia="zh-CN"/>
        </w:rPr>
        <w:t>决算明细</w:t>
      </w:r>
      <w:r>
        <w:rPr>
          <w:rFonts w:hint="eastAsia" w:ascii="仿宋" w:hAnsi="仿宋" w:eastAsia="仿宋" w:cs="仿宋"/>
          <w:i/>
          <w:iCs/>
          <w:sz w:val="32"/>
          <w:szCs w:val="32"/>
          <w:highlight w:val="none"/>
          <w:lang w:eastAsia="zh-CN"/>
        </w:rPr>
        <w:t>表”中经济分类支出事项填写</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（二）公用经费</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bCs/>
          <w:sz w:val="32"/>
          <w:szCs w:val="32"/>
          <w:highlight w:val="none"/>
          <w:lang w:eastAsia="zh-CN"/>
        </w:rPr>
        <w:t>万元</w:t>
      </w:r>
      <w:r>
        <w:rPr>
          <w:rFonts w:hint="eastAsia" w:ascii="仿宋" w:hAnsi="仿宋" w:eastAsia="仿宋" w:cs="仿宋"/>
          <w:sz w:val="32"/>
          <w:szCs w:val="32"/>
          <w:highlight w:val="none"/>
          <w:lang w:eastAsia="zh-CN"/>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等。</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i/>
          <w:iCs/>
          <w:sz w:val="32"/>
          <w:szCs w:val="32"/>
          <w:highlight w:val="none"/>
          <w:lang w:eastAsia="zh-CN"/>
        </w:rPr>
        <w:t>按“公开0</w:t>
      </w:r>
      <w:r>
        <w:rPr>
          <w:rFonts w:hint="eastAsia" w:ascii="仿宋" w:hAnsi="仿宋" w:eastAsia="仿宋" w:cs="仿宋"/>
          <w:i/>
          <w:iCs/>
          <w:sz w:val="32"/>
          <w:szCs w:val="32"/>
          <w:highlight w:val="none"/>
          <w:lang w:val="en-US" w:eastAsia="zh-CN"/>
        </w:rPr>
        <w:t>7</w:t>
      </w:r>
      <w:r>
        <w:rPr>
          <w:rFonts w:hint="eastAsia" w:ascii="仿宋" w:hAnsi="仿宋" w:eastAsia="仿宋" w:cs="仿宋"/>
          <w:i/>
          <w:iCs/>
          <w:sz w:val="32"/>
          <w:szCs w:val="32"/>
          <w:highlight w:val="none"/>
          <w:lang w:eastAsia="zh-CN"/>
        </w:rPr>
        <w:t>表一般公共预算</w:t>
      </w:r>
      <w:r>
        <w:rPr>
          <w:rFonts w:hint="eastAsia" w:ascii="仿宋" w:hAnsi="仿宋" w:eastAsia="仿宋" w:cs="仿宋"/>
          <w:i/>
          <w:iCs/>
          <w:sz w:val="32"/>
          <w:szCs w:val="32"/>
          <w:highlight w:val="none"/>
          <w:lang w:val="en-US" w:eastAsia="zh-CN"/>
        </w:rPr>
        <w:t>财政拨款</w:t>
      </w:r>
      <w:r>
        <w:rPr>
          <w:rFonts w:hint="eastAsia" w:ascii="仿宋" w:hAnsi="仿宋" w:eastAsia="仿宋" w:cs="仿宋"/>
          <w:i/>
          <w:iCs/>
          <w:sz w:val="32"/>
          <w:szCs w:val="32"/>
          <w:highlight w:val="none"/>
          <w:lang w:eastAsia="zh-CN"/>
        </w:rPr>
        <w:t>基本支出</w:t>
      </w:r>
      <w:r>
        <w:rPr>
          <w:rFonts w:hint="eastAsia" w:ascii="仿宋" w:hAnsi="仿宋" w:eastAsia="仿宋" w:cs="仿宋"/>
          <w:i/>
          <w:iCs/>
          <w:sz w:val="32"/>
          <w:szCs w:val="32"/>
          <w:highlight w:val="none"/>
          <w:lang w:val="en-US" w:eastAsia="zh-CN"/>
        </w:rPr>
        <w:t>决算明细</w:t>
      </w:r>
      <w:r>
        <w:rPr>
          <w:rFonts w:hint="eastAsia" w:ascii="仿宋" w:hAnsi="仿宋" w:eastAsia="仿宋" w:cs="仿宋"/>
          <w:i/>
          <w:iCs/>
          <w:sz w:val="32"/>
          <w:szCs w:val="32"/>
          <w:highlight w:val="none"/>
          <w:lang w:eastAsia="zh-CN"/>
        </w:rPr>
        <w:t>表”中经济分类支出事项填写</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0"/>
        <w:textAlignment w:val="auto"/>
        <w:outlineLvl w:val="0"/>
        <w:rPr>
          <w:rFonts w:hint="eastAsia" w:eastAsia="黑体" w:cs="黑体"/>
          <w:b/>
          <w:bCs/>
          <w:sz w:val="32"/>
          <w:szCs w:val="36"/>
          <w:highlight w:val="none"/>
        </w:rPr>
      </w:pPr>
      <w:r>
        <w:rPr>
          <w:rFonts w:hint="eastAsia" w:eastAsia="黑体" w:cs="黑体"/>
          <w:b/>
          <w:bCs/>
          <w:sz w:val="32"/>
          <w:szCs w:val="36"/>
          <w:highlight w:val="none"/>
          <w:lang w:val="en-US" w:eastAsia="zh-CN"/>
        </w:rPr>
        <w:t>财政拨款</w:t>
      </w:r>
      <w:r>
        <w:rPr>
          <w:rFonts w:hint="eastAsia" w:eastAsia="黑体" w:cs="黑体"/>
          <w:b/>
          <w:bCs/>
          <w:sz w:val="32"/>
          <w:szCs w:val="36"/>
          <w:highlight w:val="none"/>
        </w:rPr>
        <w:t>“三公”经费支出</w:t>
      </w:r>
      <w:r>
        <w:rPr>
          <w:rFonts w:hint="eastAsia" w:eastAsia="黑体" w:cs="黑体"/>
          <w:b/>
          <w:bCs/>
          <w:sz w:val="32"/>
          <w:szCs w:val="36"/>
          <w:highlight w:val="none"/>
          <w:lang w:val="en-US" w:eastAsia="zh-CN"/>
        </w:rPr>
        <w:t>决算</w:t>
      </w:r>
      <w:r>
        <w:rPr>
          <w:rFonts w:hint="eastAsia" w:eastAsia="黑体" w:cs="黑体"/>
          <w:b/>
          <w:bCs/>
          <w:sz w:val="32"/>
          <w:szCs w:val="36"/>
          <w:highlight w:val="none"/>
        </w:rPr>
        <w:t>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i/>
          <w:iCs/>
          <w:sz w:val="32"/>
          <w:szCs w:val="32"/>
          <w:highlight w:val="none"/>
          <w:lang w:eastAsia="zh-CN"/>
        </w:rPr>
      </w:pP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反映部门（单位）年度财政拨款“三公”经费决算情况</w:t>
      </w:r>
      <w:r>
        <w:rPr>
          <w:rFonts w:hint="eastAsia" w:ascii="仿宋" w:hAnsi="仿宋" w:eastAsia="仿宋" w:cs="仿宋"/>
          <w:i/>
          <w:iCs/>
          <w:sz w:val="32"/>
          <w:szCs w:val="32"/>
          <w:highlight w:val="none"/>
          <w:lang w:eastAsia="zh-CN"/>
        </w:rPr>
        <w:t>）</w:t>
      </w:r>
    </w:p>
    <w:p>
      <w:pPr>
        <w:pStyle w:val="5"/>
        <w:keepNext/>
        <w:keepLines/>
        <w:pageBreakBefore w:val="0"/>
        <w:widowControl w:val="0"/>
        <w:kinsoku/>
        <w:wordWrap/>
        <w:overflowPunct/>
        <w:topLinePunct w:val="0"/>
        <w:autoSpaceDE/>
        <w:autoSpaceDN/>
        <w:bidi w:val="0"/>
        <w:adjustRightInd w:val="0"/>
        <w:snapToGrid w:val="0"/>
        <w:spacing w:before="0" w:after="0" w:line="560" w:lineRule="exact"/>
        <w:ind w:firstLine="643"/>
        <w:textAlignment w:val="auto"/>
        <w:rPr>
          <w:rFonts w:ascii="Times New Roman" w:hAnsi="Times New Roman" w:eastAsia="楷体"/>
          <w:b w:val="0"/>
          <w:bCs w:val="0"/>
          <w:highlight w:val="none"/>
        </w:rPr>
      </w:pPr>
      <w:r>
        <w:rPr>
          <w:rFonts w:hint="eastAsia" w:ascii="Times New Roman" w:hAnsi="Times New Roman" w:eastAsia="楷体"/>
          <w:highlight w:val="none"/>
        </w:rPr>
        <w:t>（一）</w:t>
      </w:r>
      <w:r>
        <w:rPr>
          <w:rFonts w:hint="eastAsia" w:ascii="Times New Roman" w:hAnsi="Times New Roman" w:eastAsia="楷体"/>
          <w:highlight w:val="none"/>
          <w:lang w:val="en-US" w:eastAsia="zh-CN"/>
        </w:rPr>
        <w:t>财政拨款</w:t>
      </w:r>
      <w:r>
        <w:rPr>
          <w:rFonts w:hint="eastAsia" w:ascii="Times New Roman" w:hAnsi="Times New Roman" w:eastAsia="楷体"/>
          <w:highlight w:val="none"/>
        </w:rPr>
        <w:t>“三公”经费支出总体情况说明。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u w:val="single"/>
          <w:lang w:val="en-US" w:eastAsia="zh-CN"/>
        </w:rPr>
        <w:t xml:space="preserve">XX部门（单位） </w:t>
      </w:r>
      <w:r>
        <w:rPr>
          <w:rFonts w:hint="eastAsia" w:ascii="仿宋" w:hAnsi="仿宋" w:eastAsia="仿宋" w:cs="仿宋"/>
          <w:sz w:val="32"/>
          <w:szCs w:val="32"/>
          <w:highlight w:val="none"/>
          <w:lang w:eastAsia="zh-CN"/>
        </w:rPr>
        <w:t>XX年度财政拨款“三公”经费</w:t>
      </w:r>
      <w:r>
        <w:rPr>
          <w:rFonts w:hint="eastAsia" w:ascii="仿宋" w:hAnsi="仿宋" w:eastAsia="仿宋" w:cs="仿宋"/>
          <w:sz w:val="32"/>
          <w:szCs w:val="32"/>
          <w:highlight w:val="none"/>
          <w:lang w:val="en-US" w:eastAsia="zh-CN"/>
        </w:rPr>
        <w:t>预算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支出决算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完成预算的</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w:t>
      </w:r>
      <w:r>
        <w:rPr>
          <w:rFonts w:hint="eastAsia" w:ascii="仿宋" w:hAnsi="仿宋" w:eastAsia="仿宋" w:cs="仿宋"/>
          <w:sz w:val="32"/>
          <w:szCs w:val="32"/>
          <w:highlight w:val="none"/>
          <w:lang w:eastAsia="zh-CN"/>
        </w:rPr>
        <w:t>因公出国（境）费</w:t>
      </w:r>
      <w:r>
        <w:rPr>
          <w:rFonts w:hint="eastAsia" w:ascii="仿宋" w:hAnsi="仿宋" w:eastAsia="仿宋" w:cs="仿宋"/>
          <w:sz w:val="32"/>
          <w:szCs w:val="32"/>
          <w:highlight w:val="none"/>
          <w:lang w:val="en-US" w:eastAsia="zh-CN"/>
        </w:rPr>
        <w:t>预算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支出决算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完成预算的</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%；公务用车购置及运行维护费</w:t>
      </w:r>
      <w:r>
        <w:rPr>
          <w:rFonts w:hint="eastAsia" w:ascii="仿宋" w:hAnsi="仿宋" w:eastAsia="仿宋" w:cs="仿宋"/>
          <w:sz w:val="32"/>
          <w:szCs w:val="32"/>
          <w:highlight w:val="none"/>
          <w:lang w:val="en-US" w:eastAsia="zh-CN"/>
        </w:rPr>
        <w:t>预算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支出决算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完成预算的</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%；公务接待费</w:t>
      </w:r>
      <w:r>
        <w:rPr>
          <w:rFonts w:hint="eastAsia" w:ascii="仿宋" w:hAnsi="仿宋" w:eastAsia="仿宋" w:cs="仿宋"/>
          <w:sz w:val="32"/>
          <w:szCs w:val="32"/>
          <w:highlight w:val="none"/>
          <w:lang w:val="en-US" w:eastAsia="zh-CN"/>
        </w:rPr>
        <w:t>预算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支出决算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完成预算的</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%。XX年度</w:t>
      </w:r>
      <w:r>
        <w:rPr>
          <w:rFonts w:hint="eastAsia" w:ascii="仿宋" w:hAnsi="仿宋" w:eastAsia="仿宋" w:cs="仿宋"/>
          <w:sz w:val="32"/>
          <w:szCs w:val="32"/>
          <w:highlight w:val="none"/>
          <w:lang w:val="en-US" w:eastAsia="zh-CN"/>
        </w:rPr>
        <w:t>一般公共预算“三公”经费支出决算与预算差异原因</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也可以分项说明差异原因</w:t>
      </w:r>
      <w:r>
        <w:rPr>
          <w:rFonts w:hint="eastAsia" w:ascii="仿宋" w:hAnsi="仿宋" w:eastAsia="仿宋" w:cs="仿宋"/>
          <w:sz w:val="32"/>
          <w:szCs w:val="32"/>
          <w:highlight w:val="none"/>
          <w:lang w:eastAsia="zh-CN"/>
        </w:rPr>
        <w:t>）</w:t>
      </w:r>
    </w:p>
    <w:p>
      <w:pPr>
        <w:pStyle w:val="5"/>
        <w:keepNext/>
        <w:keepLines/>
        <w:pageBreakBefore w:val="0"/>
        <w:widowControl w:val="0"/>
        <w:kinsoku/>
        <w:wordWrap/>
        <w:overflowPunct/>
        <w:topLinePunct w:val="0"/>
        <w:autoSpaceDE/>
        <w:autoSpaceDN/>
        <w:bidi w:val="0"/>
        <w:adjustRightInd w:val="0"/>
        <w:snapToGrid w:val="0"/>
        <w:spacing w:before="0" w:after="0" w:line="560" w:lineRule="exact"/>
        <w:ind w:firstLine="643"/>
        <w:textAlignment w:val="auto"/>
        <w:rPr>
          <w:rFonts w:ascii="Times New Roman" w:hAnsi="Times New Roman" w:eastAsia="楷体"/>
          <w:b w:val="0"/>
          <w:bCs w:val="0"/>
          <w:highlight w:val="none"/>
        </w:rPr>
      </w:pPr>
      <w:r>
        <w:rPr>
          <w:rFonts w:hint="eastAsia" w:ascii="Times New Roman" w:hAnsi="Times New Roman" w:eastAsia="楷体"/>
          <w:highlight w:val="none"/>
        </w:rPr>
        <w:t>（二）</w:t>
      </w:r>
      <w:r>
        <w:rPr>
          <w:rFonts w:hint="eastAsia" w:ascii="Times New Roman" w:hAnsi="Times New Roman" w:eastAsia="楷体"/>
          <w:highlight w:val="none"/>
          <w:lang w:val="en-US" w:eastAsia="zh-CN"/>
        </w:rPr>
        <w:t>财政拨款</w:t>
      </w:r>
      <w:r>
        <w:rPr>
          <w:rFonts w:hint="eastAsia" w:ascii="Times New Roman" w:hAnsi="Times New Roman" w:eastAsia="楷体"/>
          <w:highlight w:val="none"/>
        </w:rPr>
        <w:t>“三公”经费支出具体情况说明。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u w:val="single"/>
          <w:lang w:val="en-US" w:eastAsia="zh-CN"/>
        </w:rPr>
        <w:t xml:space="preserve">XX部门（单位）   </w:t>
      </w:r>
      <w:r>
        <w:rPr>
          <w:rFonts w:hint="eastAsia" w:ascii="仿宋" w:hAnsi="仿宋" w:eastAsia="仿宋" w:cs="仿宋"/>
          <w:sz w:val="32"/>
          <w:szCs w:val="32"/>
          <w:highlight w:val="none"/>
          <w:lang w:eastAsia="zh-CN"/>
        </w:rPr>
        <w:t>XX年度财政拨款“三公”经费</w:t>
      </w:r>
      <w:r>
        <w:rPr>
          <w:rFonts w:hint="eastAsia" w:ascii="仿宋" w:hAnsi="仿宋" w:eastAsia="仿宋" w:cs="仿宋"/>
          <w:sz w:val="32"/>
          <w:szCs w:val="32"/>
          <w:highlight w:val="none"/>
          <w:lang w:val="en-US" w:eastAsia="zh-CN"/>
        </w:rPr>
        <w:t>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万元。因公出国（境）费支出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，占</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公务用车购置及运行维护费支出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，占</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公务接待费支出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，占</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因公出国（境）费支出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全年</w:t>
      </w:r>
      <w:r>
        <w:rPr>
          <w:rFonts w:hint="eastAsia" w:ascii="仿宋" w:hAnsi="仿宋" w:eastAsia="仿宋" w:cs="仿宋"/>
          <w:sz w:val="32"/>
          <w:szCs w:val="32"/>
          <w:highlight w:val="none"/>
          <w:lang w:eastAsia="zh-CN"/>
        </w:rPr>
        <w:t>出国（境）团组</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个，累计</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人次。与上年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lang w:eastAsia="zh-CN"/>
        </w:rPr>
        <w:t>相比，增加（减少）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%，变动原因：……。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公务用车购置及运行维护费支出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万元。其中：</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（1）公务用车购置支出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万元。本年度使用一般公共预算财政拨款购置公务用车辆，开支内容：……。与上年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lang w:eastAsia="zh-CN"/>
        </w:rPr>
        <w:t>相比，增加（减少）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%，变动原因：……。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（2）公务用车运行维护费支出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万元。公务用车运行维护费主要用于按规定保留的公务用车的燃料费、维修费、过桥过路费、保险费、安全奖励费用等支出。截至XX年12月31日，使用一般公共预算财政拨款开支的公务用车保有量为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辆。与上年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lang w:eastAsia="zh-CN"/>
        </w:rPr>
        <w:t>相比，增加（减少）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%，变动原因：……。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公务接待费支出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万元。其中：国内公务接待支出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万元，接待</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批次，</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人次，开支内容：……；国（境）外公务接待支出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万元，接待</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批次，</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人次，开支内容：……。与上年</w:t>
      </w:r>
      <w:r>
        <w:rPr>
          <w:rFonts w:hint="eastAsia" w:ascii="仿宋" w:hAnsi="仿宋" w:eastAsia="仿宋" w:cs="仿宋"/>
          <w:sz w:val="32"/>
          <w:szCs w:val="32"/>
          <w:highlight w:val="none"/>
          <w:lang w:val="en-US" w:eastAsia="zh-CN"/>
        </w:rPr>
        <w:t>决算</w:t>
      </w:r>
      <w:r>
        <w:rPr>
          <w:rFonts w:hint="eastAsia" w:ascii="仿宋" w:hAnsi="仿宋" w:eastAsia="仿宋" w:cs="仿宋"/>
          <w:sz w:val="32"/>
          <w:szCs w:val="32"/>
          <w:highlight w:val="none"/>
          <w:lang w:eastAsia="zh-CN"/>
        </w:rPr>
        <w:t>相比，增加（减少）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万元，增长（减少）</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%，变动原因：……。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i/>
          <w:iCs/>
          <w:sz w:val="32"/>
          <w:szCs w:val="32"/>
          <w:highlight w:val="none"/>
          <w:lang w:eastAsia="zh-CN"/>
        </w:rPr>
        <w:t>按“公开</w:t>
      </w:r>
      <w:r>
        <w:rPr>
          <w:rFonts w:hint="eastAsia" w:ascii="仿宋" w:hAnsi="仿宋" w:eastAsia="仿宋" w:cs="仿宋"/>
          <w:i/>
          <w:iCs/>
          <w:sz w:val="32"/>
          <w:szCs w:val="32"/>
          <w:highlight w:val="none"/>
          <w:lang w:val="en-US" w:eastAsia="zh-CN"/>
        </w:rPr>
        <w:t>10</w:t>
      </w:r>
      <w:r>
        <w:rPr>
          <w:rFonts w:hint="eastAsia" w:ascii="仿宋" w:hAnsi="仿宋" w:eastAsia="仿宋" w:cs="仿宋"/>
          <w:i/>
          <w:iCs/>
          <w:sz w:val="32"/>
          <w:szCs w:val="32"/>
          <w:highlight w:val="none"/>
          <w:lang w:eastAsia="zh-CN"/>
        </w:rPr>
        <w:t>表财政拨款“三公”经费支出决算表”中支出</w:t>
      </w:r>
      <w:r>
        <w:rPr>
          <w:rFonts w:hint="eastAsia" w:ascii="仿宋" w:hAnsi="仿宋" w:eastAsia="仿宋" w:cs="仿宋"/>
          <w:i/>
          <w:iCs/>
          <w:sz w:val="32"/>
          <w:szCs w:val="32"/>
          <w:highlight w:val="none"/>
          <w:lang w:val="en-US" w:eastAsia="zh-CN"/>
        </w:rPr>
        <w:t>金额及数额</w:t>
      </w:r>
      <w:r>
        <w:rPr>
          <w:rFonts w:hint="eastAsia" w:ascii="仿宋" w:hAnsi="仿宋" w:eastAsia="仿宋" w:cs="仿宋"/>
          <w:i/>
          <w:iCs/>
          <w:sz w:val="32"/>
          <w:szCs w:val="32"/>
          <w:highlight w:val="none"/>
          <w:lang w:eastAsia="zh-CN"/>
        </w:rPr>
        <w:t>填写</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i/>
          <w:iCs/>
          <w:sz w:val="32"/>
          <w:szCs w:val="32"/>
          <w:highlight w:val="none"/>
          <w:lang w:val="en-US" w:eastAsia="zh-CN"/>
        </w:rPr>
      </w:pPr>
      <w:r>
        <w:rPr>
          <w:rFonts w:hint="eastAsia" w:ascii="仿宋" w:hAnsi="仿宋" w:eastAsia="仿宋" w:cs="仿宋"/>
          <w:i/>
          <w:iCs/>
          <w:sz w:val="32"/>
          <w:szCs w:val="32"/>
          <w:highlight w:val="none"/>
          <w:lang w:val="en-US" w:eastAsia="zh-CN"/>
        </w:rPr>
        <w:t>特别强调1：上述数据逻辑要合理，例如国内公务接待支出有数额时，接待批次要有数量，同时要有接待人次。</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i/>
          <w:iCs/>
          <w:sz w:val="32"/>
          <w:szCs w:val="32"/>
          <w:highlight w:val="none"/>
          <w:lang w:val="en-US" w:eastAsia="zh-CN"/>
        </w:rPr>
      </w:pPr>
      <w:r>
        <w:rPr>
          <w:rFonts w:hint="eastAsia" w:ascii="仿宋" w:hAnsi="仿宋" w:eastAsia="仿宋" w:cs="仿宋"/>
          <w:i/>
          <w:iCs/>
          <w:sz w:val="32"/>
          <w:szCs w:val="32"/>
          <w:highlight w:val="none"/>
          <w:lang w:val="en-US" w:eastAsia="zh-CN"/>
        </w:rPr>
        <w:t>特别强调2：</w:t>
      </w:r>
      <w:r>
        <w:rPr>
          <w:rFonts w:hint="eastAsia" w:eastAsia="仿宋_GB2312" w:cs="Times New Roman"/>
          <w:i/>
          <w:iCs/>
          <w:sz w:val="32"/>
          <w:szCs w:val="32"/>
          <w:highlight w:val="none"/>
          <w:lang w:val="en-US" w:eastAsia="zh-CN"/>
        </w:rPr>
        <w:t>三公经费如合计为零也要分别填列说明。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i/>
          <w:iCs/>
          <w:sz w:val="32"/>
          <w:szCs w:val="32"/>
          <w:highlight w:val="none"/>
          <w:lang w:val="en-US" w:eastAsia="zh-CN"/>
        </w:rPr>
      </w:pPr>
      <w:r>
        <w:rPr>
          <w:rFonts w:hint="eastAsia" w:ascii="仿宋" w:hAnsi="仿宋" w:eastAsia="仿宋" w:cs="仿宋"/>
          <w:i/>
          <w:iCs/>
          <w:sz w:val="32"/>
          <w:szCs w:val="32"/>
          <w:highlight w:val="none"/>
          <w:lang w:val="en-US" w:eastAsia="zh-CN"/>
        </w:rPr>
        <w:t>特别强调3：报告数据要与报表保持一致。例如“车辆保有量”、“</w:t>
      </w:r>
      <w:r>
        <w:rPr>
          <w:rFonts w:hint="eastAsia" w:ascii="仿宋_GB2312" w:hAnsi="仿宋_GB2312" w:eastAsia="仿宋_GB2312" w:cs="仿宋_GB2312"/>
          <w:b w:val="0"/>
          <w:bCs w:val="0"/>
          <w:i/>
          <w:iCs/>
          <w:color w:val="auto"/>
          <w:sz w:val="32"/>
          <w:szCs w:val="32"/>
          <w:highlight w:val="none"/>
          <w:lang w:val="en-US" w:eastAsia="zh-CN"/>
        </w:rPr>
        <w:t>公务用车购置数</w:t>
      </w:r>
      <w:r>
        <w:rPr>
          <w:rFonts w:hint="eastAsia" w:ascii="仿宋" w:hAnsi="仿宋" w:eastAsia="仿宋" w:cs="仿宋"/>
          <w:i/>
          <w:iCs/>
          <w:sz w:val="32"/>
          <w:szCs w:val="32"/>
          <w:highlight w:val="none"/>
          <w:lang w:val="en-US" w:eastAsia="zh-CN"/>
        </w:rPr>
        <w:t>”、“政府采购支出数”等。</w:t>
      </w:r>
    </w:p>
    <w:p>
      <w:pPr>
        <w:pageBreakBefore w:val="0"/>
        <w:widowControl w:val="0"/>
        <w:numPr>
          <w:ilvl w:val="0"/>
          <w:numId w:val="1"/>
        </w:numPr>
        <w:kinsoku/>
        <w:wordWrap/>
        <w:overflowPunct/>
        <w:topLinePunct w:val="0"/>
        <w:autoSpaceDE/>
        <w:autoSpaceDN/>
        <w:bidi w:val="0"/>
        <w:spacing w:line="560" w:lineRule="exact"/>
        <w:ind w:left="-13" w:leftChars="0" w:firstLine="643" w:firstLineChars="0"/>
        <w:textAlignment w:val="auto"/>
        <w:outlineLvl w:val="0"/>
        <w:rPr>
          <w:rFonts w:hint="eastAsia" w:eastAsia="黑体" w:cs="黑体"/>
          <w:b/>
          <w:bCs/>
          <w:sz w:val="32"/>
          <w:szCs w:val="36"/>
          <w:highlight w:val="none"/>
        </w:rPr>
      </w:pPr>
      <w:r>
        <w:rPr>
          <w:rFonts w:hint="eastAsia" w:eastAsia="黑体" w:cs="黑体"/>
          <w:b/>
          <w:bCs/>
          <w:sz w:val="32"/>
          <w:szCs w:val="36"/>
          <w:highlight w:val="none"/>
        </w:rPr>
        <w:t>政府性基金预算</w:t>
      </w:r>
      <w:r>
        <w:rPr>
          <w:rFonts w:hint="eastAsia" w:eastAsia="黑体" w:cs="黑体"/>
          <w:b/>
          <w:bCs/>
          <w:sz w:val="32"/>
          <w:szCs w:val="36"/>
          <w:highlight w:val="none"/>
          <w:lang w:val="en-US" w:eastAsia="zh-CN"/>
        </w:rPr>
        <w:t>财政拨款</w:t>
      </w:r>
      <w:r>
        <w:rPr>
          <w:rFonts w:hint="eastAsia" w:eastAsia="黑体" w:cs="黑体"/>
          <w:b/>
          <w:bCs/>
          <w:sz w:val="32"/>
          <w:szCs w:val="36"/>
          <w:highlight w:val="none"/>
        </w:rPr>
        <w:t>支出决算情况说明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i/>
          <w:iCs/>
          <w:sz w:val="32"/>
          <w:szCs w:val="32"/>
          <w:highlight w:val="none"/>
          <w:lang w:eastAsia="zh-CN"/>
        </w:rPr>
      </w:pP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反映部门（单位）年度政府性基金支出决算情况。政府性基金支出决算数应与“公开08表政府性基金预算财政拨款收入支出决算表”的本年支出决算数一致，并按政府收支分类科目的功能分类“项”级细化列示</w:t>
      </w:r>
      <w:r>
        <w:rPr>
          <w:rFonts w:hint="eastAsia" w:ascii="仿宋" w:hAnsi="仿宋" w:eastAsia="仿宋" w:cs="仿宋"/>
          <w:i/>
          <w:iCs/>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u w:val="single"/>
          <w:lang w:val="en-US" w:eastAsia="zh-CN"/>
        </w:rPr>
        <w:t>XX部门（单位）</w:t>
      </w:r>
      <w:r>
        <w:rPr>
          <w:rFonts w:hint="eastAsia" w:ascii="仿宋" w:hAnsi="仿宋" w:eastAsia="仿宋" w:cs="仿宋"/>
          <w:sz w:val="32"/>
          <w:szCs w:val="32"/>
          <w:highlight w:val="none"/>
          <w:lang w:eastAsia="zh-CN"/>
        </w:rPr>
        <w:t>XX年度政府性基金预算支出决算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万元。与上年决算相比，增加（减少）</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万元，增长（减少）</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%，变动原因：……。</w:t>
      </w:r>
      <w:r>
        <w:rPr>
          <w:rFonts w:hint="eastAsia" w:ascii="仿宋" w:hAnsi="仿宋" w:eastAsia="仿宋" w:cs="仿宋"/>
          <w:sz w:val="32"/>
          <w:szCs w:val="32"/>
          <w:highlight w:val="none"/>
          <w:lang w:val="en-US" w:eastAsia="zh-CN"/>
        </w:rPr>
        <w:t>其中：</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（一）城乡社区支出（类）政府住房基金及对应专项债务收入安排的支出（款）管理费用支出（项）支出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主要用于</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p>
    <w:p>
      <w:pPr>
        <w:pStyle w:val="8"/>
        <w:pageBreakBefore w:val="0"/>
        <w:kinsoku/>
        <w:wordWrap/>
        <w:overflowPunct/>
        <w:topLinePunct w:val="0"/>
        <w:bidi w:val="0"/>
        <w:spacing w:after="0" w:line="600" w:lineRule="exact"/>
        <w:ind w:left="17" w:leftChars="8" w:firstLine="640" w:firstLineChars="200"/>
        <w:rPr>
          <w:rFonts w:ascii="仿宋" w:hAnsi="仿宋" w:eastAsia="仿宋" w:cs="仿宋"/>
          <w:i/>
          <w:iCs/>
          <w:sz w:val="32"/>
          <w:szCs w:val="32"/>
          <w:highlight w:val="none"/>
        </w:rPr>
      </w:pPr>
      <w:r>
        <w:rPr>
          <w:rFonts w:hint="eastAsia" w:ascii="仿宋" w:hAnsi="仿宋" w:eastAsia="仿宋" w:cs="仿宋"/>
          <w:i/>
          <w:iCs/>
          <w:sz w:val="32"/>
          <w:szCs w:val="32"/>
          <w:highlight w:val="none"/>
        </w:rPr>
        <w:t>（</w:t>
      </w:r>
      <w:r>
        <w:rPr>
          <w:rFonts w:hint="eastAsia" w:ascii="仿宋" w:hAnsi="仿宋" w:eastAsia="仿宋" w:cs="仿宋"/>
          <w:i/>
          <w:iCs/>
          <w:sz w:val="32"/>
          <w:szCs w:val="32"/>
          <w:highlight w:val="none"/>
          <w:lang w:val="en-US" w:eastAsia="zh-CN"/>
        </w:rPr>
        <w:t>若不涉及政府性基金预算财政拨款支出，上述总体情况也应说明，只是数据填列为“0”，同时在“变动原因”处说明“本年无政府性基金预算财政拨款支出”。或“本部门（单位）无政府性基金预算财政拨款支出”</w:t>
      </w:r>
      <w:r>
        <w:rPr>
          <w:rFonts w:hint="eastAsia" w:ascii="仿宋" w:hAnsi="仿宋" w:eastAsia="仿宋" w:cs="仿宋"/>
          <w:i/>
          <w:iCs/>
          <w:sz w:val="32"/>
          <w:szCs w:val="32"/>
          <w:highlight w:val="none"/>
        </w:rPr>
        <w:t>）</w:t>
      </w:r>
    </w:p>
    <w:p>
      <w:pPr>
        <w:pageBreakBefore w:val="0"/>
        <w:widowControl w:val="0"/>
        <w:kinsoku/>
        <w:wordWrap/>
        <w:overflowPunct/>
        <w:topLinePunct w:val="0"/>
        <w:autoSpaceDE/>
        <w:autoSpaceDN/>
        <w:bidi w:val="0"/>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lang w:val="en-US" w:eastAsia="zh-CN"/>
        </w:rPr>
        <w:t>九</w:t>
      </w:r>
      <w:r>
        <w:rPr>
          <w:rFonts w:hint="eastAsia" w:eastAsia="黑体" w:cs="黑体"/>
          <w:b/>
          <w:bCs/>
          <w:sz w:val="32"/>
          <w:szCs w:val="36"/>
          <w:highlight w:val="none"/>
        </w:rPr>
        <w:t>、国有资本经营预算</w:t>
      </w:r>
      <w:r>
        <w:rPr>
          <w:rFonts w:hint="eastAsia" w:eastAsia="黑体" w:cs="黑体"/>
          <w:b/>
          <w:bCs/>
          <w:sz w:val="32"/>
          <w:szCs w:val="36"/>
          <w:highlight w:val="none"/>
          <w:lang w:val="en-US" w:eastAsia="zh-CN"/>
        </w:rPr>
        <w:t>财政拨款</w:t>
      </w:r>
      <w:r>
        <w:rPr>
          <w:rFonts w:hint="eastAsia" w:eastAsia="黑体" w:cs="黑体"/>
          <w:b/>
          <w:bCs/>
          <w:sz w:val="32"/>
          <w:szCs w:val="36"/>
          <w:highlight w:val="none"/>
        </w:rPr>
        <w:t>支出决算情况说明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i/>
          <w:iCs/>
          <w:sz w:val="32"/>
          <w:szCs w:val="32"/>
          <w:highlight w:val="none"/>
          <w:lang w:eastAsia="zh-CN"/>
        </w:rPr>
        <w:t>（</w:t>
      </w:r>
      <w:r>
        <w:rPr>
          <w:rFonts w:hint="eastAsia" w:ascii="仿宋" w:hAnsi="仿宋" w:eastAsia="仿宋" w:cs="仿宋"/>
          <w:i/>
          <w:iCs/>
          <w:sz w:val="32"/>
          <w:szCs w:val="32"/>
          <w:highlight w:val="none"/>
          <w:lang w:val="en-US" w:eastAsia="zh-CN"/>
        </w:rPr>
        <w:t>反映部门（单位）年度国有资本经营支出决算情况。国有资本经营支出决算数应与“公开01表收入支出决算总表”的国有资本经营预算支出决算数及“公开09表国有资本经营预算财政拨款支出决算表”的本年支出数一致，并按政府收支分类科目的功能分类“项”级细化列示</w:t>
      </w:r>
      <w:r>
        <w:rPr>
          <w:rFonts w:hint="eastAsia" w:ascii="仿宋" w:hAnsi="仿宋" w:eastAsia="仿宋" w:cs="仿宋"/>
          <w:i/>
          <w:iCs/>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u w:val="single"/>
          <w:lang w:val="en-US" w:eastAsia="zh-CN"/>
        </w:rPr>
        <w:t xml:space="preserve">XX部门（单位）    </w:t>
      </w:r>
      <w:r>
        <w:rPr>
          <w:rFonts w:hint="eastAsia" w:ascii="仿宋" w:hAnsi="仿宋" w:eastAsia="仿宋" w:cs="仿宋"/>
          <w:sz w:val="32"/>
          <w:szCs w:val="32"/>
          <w:highlight w:val="none"/>
          <w:lang w:eastAsia="zh-CN"/>
        </w:rPr>
        <w:t>XX年度国有资本经营预算支出决算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万元。与上年决算相比，增加（减少）</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万元，增长（减少）</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%，变动原因：……。</w:t>
      </w:r>
      <w:r>
        <w:rPr>
          <w:rFonts w:hint="eastAsia" w:ascii="仿宋" w:hAnsi="仿宋" w:eastAsia="仿宋" w:cs="仿宋"/>
          <w:sz w:val="32"/>
          <w:szCs w:val="32"/>
          <w:highlight w:val="none"/>
          <w:lang w:val="en-US" w:eastAsia="zh-CN"/>
        </w:rPr>
        <w:t>其中：</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（一）国有资本经营预算支出（类）解决历时遗留问题及改革成本支出（款）“三供一业”移交补助支出（项）支出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主要用于</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i/>
          <w:iCs/>
          <w:sz w:val="32"/>
          <w:szCs w:val="32"/>
          <w:highlight w:val="none"/>
        </w:rPr>
        <w:t>（</w:t>
      </w:r>
      <w:r>
        <w:rPr>
          <w:rFonts w:hint="eastAsia" w:ascii="仿宋" w:hAnsi="仿宋" w:eastAsia="仿宋" w:cs="仿宋"/>
          <w:i/>
          <w:iCs/>
          <w:sz w:val="32"/>
          <w:szCs w:val="32"/>
          <w:highlight w:val="none"/>
          <w:lang w:val="en-US" w:eastAsia="zh-CN"/>
        </w:rPr>
        <w:t>若不涉及国有资本经营预算财政拨款支出，上述总体情况也应说明，只是数据填列为“0”，同时在“变动原因”处说明“本年无国有资本经营预算财政拨款支出。或本部门（单位）无国有资本经营预算财政拨款支出”</w:t>
      </w:r>
      <w:r>
        <w:rPr>
          <w:rFonts w:hint="eastAsia" w:ascii="仿宋" w:hAnsi="仿宋" w:eastAsia="仿宋" w:cs="仿宋"/>
          <w:i/>
          <w:iCs/>
          <w:sz w:val="32"/>
          <w:szCs w:val="32"/>
          <w:highlight w:val="none"/>
        </w:rPr>
        <w:t>）</w:t>
      </w:r>
    </w:p>
    <w:p>
      <w:pPr>
        <w:pageBreakBefore w:val="0"/>
        <w:widowControl w:val="0"/>
        <w:kinsoku/>
        <w:wordWrap/>
        <w:overflowPunct/>
        <w:topLinePunct w:val="0"/>
        <w:autoSpaceDE/>
        <w:autoSpaceDN/>
        <w:bidi w:val="0"/>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lang w:val="en-US" w:eastAsia="zh-CN"/>
        </w:rPr>
        <w:t>十</w:t>
      </w:r>
      <w:r>
        <w:rPr>
          <w:rFonts w:hint="eastAsia" w:eastAsia="黑体" w:cs="黑体"/>
          <w:b/>
          <w:bCs/>
          <w:sz w:val="32"/>
          <w:szCs w:val="36"/>
          <w:highlight w:val="none"/>
        </w:rPr>
        <w:t>、</w:t>
      </w:r>
      <w:r>
        <w:rPr>
          <w:rFonts w:hint="eastAsia" w:eastAsia="黑体" w:cs="黑体"/>
          <w:b/>
          <w:bCs/>
          <w:sz w:val="32"/>
          <w:szCs w:val="36"/>
          <w:highlight w:val="none"/>
          <w:lang w:val="en-US" w:eastAsia="zh-CN"/>
        </w:rPr>
        <w:t>项目</w:t>
      </w:r>
      <w:r>
        <w:rPr>
          <w:rFonts w:hint="eastAsia" w:eastAsia="黑体" w:cs="黑体"/>
          <w:b/>
          <w:bCs/>
          <w:sz w:val="32"/>
          <w:szCs w:val="36"/>
          <w:highlight w:val="none"/>
        </w:rPr>
        <w:t>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heme="minorBidi"/>
          <w:i/>
          <w:iCs/>
          <w:sz w:val="32"/>
          <w:szCs w:val="32"/>
          <w:highlight w:val="none"/>
          <w:u w:val="none"/>
          <w:lang w:eastAsia="zh-CN"/>
        </w:rPr>
      </w:pPr>
      <w:r>
        <w:rPr>
          <w:rFonts w:hint="eastAsia" w:eastAsia="仿宋_GB2312" w:cstheme="minorBidi"/>
          <w:i/>
          <w:iCs/>
          <w:sz w:val="32"/>
          <w:szCs w:val="32"/>
          <w:highlight w:val="none"/>
          <w:u w:val="none"/>
          <w:lang w:eastAsia="zh-CN"/>
        </w:rPr>
        <w:t>（</w:t>
      </w:r>
      <w:r>
        <w:rPr>
          <w:rFonts w:hint="eastAsia" w:eastAsia="仿宋_GB2312" w:cstheme="minorBidi"/>
          <w:i/>
          <w:iCs/>
          <w:sz w:val="32"/>
          <w:szCs w:val="32"/>
          <w:highlight w:val="none"/>
          <w:u w:val="none"/>
          <w:lang w:val="en-US" w:eastAsia="zh-CN"/>
        </w:rPr>
        <w:t>反映部门（单位）年度项目支出决算情况。</w:t>
      </w:r>
      <w:r>
        <w:rPr>
          <w:rFonts w:hint="eastAsia" w:ascii="仿宋" w:hAnsi="仿宋" w:eastAsia="仿宋" w:cs="仿宋"/>
          <w:i/>
          <w:iCs/>
          <w:sz w:val="32"/>
          <w:szCs w:val="32"/>
          <w:highlight w:val="none"/>
          <w:lang w:eastAsia="zh-CN"/>
        </w:rPr>
        <w:t>按“公开</w:t>
      </w:r>
      <w:r>
        <w:rPr>
          <w:rFonts w:hint="eastAsia" w:ascii="仿宋" w:hAnsi="仿宋" w:eastAsia="仿宋" w:cs="仿宋"/>
          <w:i/>
          <w:iCs/>
          <w:sz w:val="32"/>
          <w:szCs w:val="32"/>
          <w:highlight w:val="none"/>
          <w:lang w:val="en-US" w:eastAsia="zh-CN"/>
        </w:rPr>
        <w:t>05</w:t>
      </w:r>
      <w:r>
        <w:rPr>
          <w:rFonts w:hint="eastAsia" w:ascii="仿宋" w:hAnsi="仿宋" w:eastAsia="仿宋" w:cs="仿宋"/>
          <w:i/>
          <w:iCs/>
          <w:sz w:val="32"/>
          <w:szCs w:val="32"/>
          <w:highlight w:val="none"/>
          <w:lang w:eastAsia="zh-CN"/>
        </w:rPr>
        <w:t>表</w:t>
      </w:r>
      <w:r>
        <w:rPr>
          <w:rFonts w:hint="eastAsia" w:ascii="仿宋" w:hAnsi="仿宋" w:eastAsia="仿宋" w:cs="仿宋"/>
          <w:i/>
          <w:iCs/>
          <w:sz w:val="32"/>
          <w:szCs w:val="32"/>
          <w:highlight w:val="none"/>
          <w:lang w:val="en-US" w:eastAsia="zh-CN"/>
        </w:rPr>
        <w:t>项目收支决算</w:t>
      </w:r>
      <w:r>
        <w:rPr>
          <w:rFonts w:hint="eastAsia" w:ascii="仿宋" w:hAnsi="仿宋" w:eastAsia="仿宋" w:cs="仿宋"/>
          <w:i/>
          <w:iCs/>
          <w:sz w:val="32"/>
          <w:szCs w:val="32"/>
          <w:highlight w:val="none"/>
          <w:lang w:eastAsia="zh-CN"/>
        </w:rPr>
        <w:t>表”中</w:t>
      </w:r>
      <w:r>
        <w:rPr>
          <w:rFonts w:hint="eastAsia" w:ascii="仿宋" w:hAnsi="仿宋" w:eastAsia="仿宋" w:cs="仿宋"/>
          <w:i/>
          <w:iCs/>
          <w:sz w:val="32"/>
          <w:szCs w:val="32"/>
          <w:highlight w:val="none"/>
          <w:lang w:val="en-US" w:eastAsia="zh-CN"/>
        </w:rPr>
        <w:t>数据对应</w:t>
      </w:r>
      <w:r>
        <w:rPr>
          <w:rFonts w:hint="eastAsia" w:ascii="仿宋" w:hAnsi="仿宋" w:eastAsia="仿宋" w:cs="仿宋"/>
          <w:i/>
          <w:iCs/>
          <w:sz w:val="32"/>
          <w:szCs w:val="32"/>
          <w:highlight w:val="none"/>
          <w:lang w:eastAsia="zh-CN"/>
        </w:rPr>
        <w:t>填写。</w:t>
      </w:r>
      <w:r>
        <w:rPr>
          <w:rFonts w:hint="eastAsia" w:eastAsia="仿宋_GB2312" w:cstheme="minorBidi"/>
          <w:i/>
          <w:iCs/>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heme="minorBidi"/>
          <w:sz w:val="32"/>
          <w:szCs w:val="32"/>
          <w:highlight w:val="none"/>
          <w:u w:val="none"/>
          <w:lang w:val="en-US" w:eastAsia="zh-CN"/>
        </w:rPr>
      </w:pPr>
      <w:r>
        <w:rPr>
          <w:rFonts w:hint="eastAsia" w:ascii="仿宋" w:hAnsi="仿宋" w:eastAsia="仿宋" w:cs="仿宋"/>
          <w:sz w:val="32"/>
          <w:szCs w:val="32"/>
          <w:highlight w:val="none"/>
          <w:u w:val="single"/>
          <w:lang w:val="en-US" w:eastAsia="zh-CN"/>
        </w:rPr>
        <w:t xml:space="preserve">XX部门（单位）    </w:t>
      </w:r>
      <w:r>
        <w:rPr>
          <w:rFonts w:hint="eastAsia" w:eastAsia="仿宋_GB2312" w:cstheme="minorBidi"/>
          <w:sz w:val="32"/>
          <w:szCs w:val="32"/>
          <w:highlight w:val="none"/>
          <w:u w:val="none"/>
          <w:lang w:eastAsia="zh-CN"/>
        </w:rPr>
        <w:t>XX年部门（</w:t>
      </w:r>
      <w:r>
        <w:rPr>
          <w:rFonts w:hint="eastAsia" w:eastAsia="仿宋_GB2312" w:cstheme="minorBidi"/>
          <w:sz w:val="32"/>
          <w:szCs w:val="32"/>
          <w:highlight w:val="none"/>
          <w:u w:val="none"/>
          <w:lang w:val="en-US" w:eastAsia="zh-CN"/>
        </w:rPr>
        <w:t>单位</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lang w:val="en-US" w:eastAsia="zh-CN"/>
        </w:rPr>
        <w:t>预算安排项目</w:t>
      </w:r>
      <w:r>
        <w:rPr>
          <w:rFonts w:hint="eastAsia" w:eastAsia="仿宋_GB2312" w:cstheme="minorBidi"/>
          <w:sz w:val="32"/>
          <w:szCs w:val="32"/>
          <w:highlight w:val="none"/>
          <w:u w:val="single"/>
          <w:lang w:eastAsia="zh-CN"/>
        </w:rPr>
        <w:tab/>
      </w:r>
      <w:r>
        <w:rPr>
          <w:rFonts w:hint="eastAsia" w:eastAsia="仿宋_GB2312" w:cstheme="minorBidi"/>
          <w:sz w:val="32"/>
          <w:szCs w:val="32"/>
          <w:highlight w:val="none"/>
          <w:u w:val="single"/>
          <w:lang w:val="en-US" w:eastAsia="zh-CN"/>
        </w:rPr>
        <w:t xml:space="preserve">    </w:t>
      </w:r>
      <w:r>
        <w:rPr>
          <w:rFonts w:hint="eastAsia" w:eastAsia="仿宋_GB2312" w:cstheme="minorBidi"/>
          <w:sz w:val="32"/>
          <w:szCs w:val="32"/>
          <w:highlight w:val="none"/>
          <w:u w:val="none"/>
          <w:lang w:val="en-US" w:eastAsia="zh-CN"/>
        </w:rPr>
        <w:t>个</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lang w:val="en-US" w:eastAsia="zh-CN"/>
        </w:rPr>
        <w:t>实施项目</w:t>
      </w:r>
      <w:r>
        <w:rPr>
          <w:rFonts w:hint="eastAsia" w:eastAsia="仿宋_GB2312" w:cstheme="minorBidi"/>
          <w:sz w:val="32"/>
          <w:szCs w:val="32"/>
          <w:highlight w:val="none"/>
          <w:u w:val="single"/>
          <w:lang w:eastAsia="zh-CN"/>
        </w:rPr>
        <w:tab/>
      </w:r>
      <w:r>
        <w:rPr>
          <w:rFonts w:hint="eastAsia" w:eastAsia="仿宋_GB2312" w:cstheme="minorBidi"/>
          <w:sz w:val="32"/>
          <w:szCs w:val="32"/>
          <w:highlight w:val="none"/>
          <w:u w:val="single"/>
          <w:lang w:val="en-US" w:eastAsia="zh-CN"/>
        </w:rPr>
        <w:t xml:space="preserve">    </w:t>
      </w:r>
      <w:r>
        <w:rPr>
          <w:rFonts w:hint="eastAsia" w:eastAsia="仿宋_GB2312" w:cstheme="minorBidi"/>
          <w:sz w:val="32"/>
          <w:szCs w:val="32"/>
          <w:highlight w:val="none"/>
          <w:u w:val="none"/>
          <w:lang w:val="en-US" w:eastAsia="zh-CN"/>
        </w:rPr>
        <w:t>个，完成项目</w:t>
      </w:r>
      <w:r>
        <w:rPr>
          <w:rFonts w:hint="eastAsia" w:eastAsia="仿宋_GB2312" w:cstheme="minorBidi"/>
          <w:sz w:val="32"/>
          <w:szCs w:val="32"/>
          <w:highlight w:val="none"/>
          <w:u w:val="single"/>
          <w:lang w:eastAsia="zh-CN"/>
        </w:rPr>
        <w:tab/>
      </w:r>
      <w:r>
        <w:rPr>
          <w:rFonts w:hint="eastAsia" w:eastAsia="仿宋_GB2312" w:cstheme="minorBidi"/>
          <w:sz w:val="32"/>
          <w:szCs w:val="32"/>
          <w:highlight w:val="none"/>
          <w:u w:val="single"/>
          <w:lang w:val="en-US" w:eastAsia="zh-CN"/>
        </w:rPr>
        <w:t xml:space="preserve">  </w:t>
      </w:r>
      <w:r>
        <w:rPr>
          <w:rFonts w:hint="eastAsia" w:eastAsia="仿宋_GB2312" w:cstheme="minorBidi"/>
          <w:sz w:val="32"/>
          <w:szCs w:val="32"/>
          <w:highlight w:val="none"/>
          <w:u w:val="none"/>
          <w:lang w:val="en-US" w:eastAsia="zh-CN"/>
        </w:rPr>
        <w:t>个，项目支出总金额</w:t>
      </w:r>
      <w:r>
        <w:rPr>
          <w:rFonts w:hint="eastAsia" w:eastAsia="仿宋_GB2312" w:cstheme="minorBidi"/>
          <w:sz w:val="32"/>
          <w:szCs w:val="32"/>
          <w:highlight w:val="none"/>
          <w:u w:val="single"/>
          <w:lang w:eastAsia="zh-CN"/>
        </w:rPr>
        <w:tab/>
      </w:r>
      <w:r>
        <w:rPr>
          <w:rFonts w:hint="eastAsia" w:eastAsia="仿宋_GB2312" w:cstheme="minorBidi"/>
          <w:sz w:val="32"/>
          <w:szCs w:val="32"/>
          <w:highlight w:val="none"/>
          <w:u w:val="single"/>
          <w:lang w:val="en-US" w:eastAsia="zh-CN"/>
        </w:rPr>
        <w:t xml:space="preserve">   </w:t>
      </w:r>
      <w:r>
        <w:rPr>
          <w:rFonts w:hint="eastAsia" w:eastAsia="仿宋_GB2312" w:cstheme="minorBidi"/>
          <w:sz w:val="32"/>
          <w:szCs w:val="32"/>
          <w:highlight w:val="none"/>
          <w:u w:val="none"/>
          <w:lang w:eastAsia="zh-CN"/>
        </w:rPr>
        <w:t>万元。</w:t>
      </w:r>
      <w:r>
        <w:rPr>
          <w:rFonts w:hint="eastAsia" w:eastAsia="仿宋_GB2312" w:cstheme="minorBidi"/>
          <w:sz w:val="32"/>
          <w:szCs w:val="32"/>
          <w:highlight w:val="none"/>
          <w:u w:val="none"/>
          <w:lang w:val="en-US" w:eastAsia="zh-CN"/>
        </w:rPr>
        <w:t>财政本年拨款金额</w:t>
      </w:r>
      <w:r>
        <w:rPr>
          <w:rFonts w:hint="eastAsia" w:eastAsia="仿宋_GB2312" w:cstheme="minorBidi"/>
          <w:sz w:val="32"/>
          <w:szCs w:val="32"/>
          <w:highlight w:val="none"/>
          <w:u w:val="none"/>
          <w:lang w:eastAsia="zh-CN"/>
        </w:rPr>
        <w:tab/>
      </w:r>
      <w:r>
        <w:rPr>
          <w:rFonts w:hint="eastAsia" w:eastAsia="仿宋_GB2312" w:cstheme="minorBidi"/>
          <w:sz w:val="32"/>
          <w:szCs w:val="32"/>
          <w:highlight w:val="none"/>
          <w:u w:val="single"/>
          <w:lang w:eastAsia="zh-CN"/>
        </w:rPr>
        <w:tab/>
      </w:r>
      <w:r>
        <w:rPr>
          <w:rFonts w:hint="eastAsia" w:eastAsia="仿宋_GB2312" w:cstheme="minorBidi"/>
          <w:sz w:val="32"/>
          <w:szCs w:val="32"/>
          <w:highlight w:val="none"/>
          <w:u w:val="single"/>
          <w:lang w:val="en-US" w:eastAsia="zh-CN"/>
        </w:rPr>
        <w:t xml:space="preserve">  </w:t>
      </w:r>
      <w:r>
        <w:rPr>
          <w:rFonts w:hint="eastAsia" w:eastAsia="仿宋_GB2312" w:cstheme="minorBidi"/>
          <w:sz w:val="32"/>
          <w:szCs w:val="32"/>
          <w:highlight w:val="none"/>
          <w:u w:val="none"/>
          <w:lang w:eastAsia="zh-CN"/>
        </w:rPr>
        <w:t>万元，</w:t>
      </w:r>
      <w:r>
        <w:rPr>
          <w:rFonts w:hint="eastAsia" w:eastAsia="仿宋_GB2312" w:cstheme="minorBidi"/>
          <w:sz w:val="32"/>
          <w:szCs w:val="32"/>
          <w:highlight w:val="none"/>
          <w:u w:val="none"/>
          <w:lang w:val="en-US" w:eastAsia="zh-CN"/>
        </w:rPr>
        <w:t>财政拨款结转结余</w:t>
      </w:r>
      <w:r>
        <w:rPr>
          <w:rFonts w:hint="eastAsia" w:eastAsia="仿宋_GB2312" w:cstheme="minorBidi"/>
          <w:sz w:val="32"/>
          <w:szCs w:val="32"/>
          <w:highlight w:val="none"/>
          <w:u w:val="single"/>
          <w:lang w:eastAsia="zh-CN"/>
        </w:rPr>
        <w:tab/>
      </w:r>
      <w:r>
        <w:rPr>
          <w:rFonts w:hint="eastAsia" w:eastAsia="仿宋_GB2312" w:cstheme="minorBidi"/>
          <w:sz w:val="32"/>
          <w:szCs w:val="32"/>
          <w:highlight w:val="none"/>
          <w:u w:val="single"/>
          <w:lang w:val="en-US" w:eastAsia="zh-CN"/>
        </w:rPr>
        <w:t xml:space="preserve">  </w:t>
      </w:r>
      <w:r>
        <w:rPr>
          <w:rFonts w:hint="eastAsia" w:eastAsia="仿宋_GB2312" w:cstheme="minorBidi"/>
          <w:sz w:val="32"/>
          <w:szCs w:val="32"/>
          <w:highlight w:val="none"/>
          <w:u w:val="none"/>
          <w:lang w:val="en-US" w:eastAsia="zh-CN"/>
        </w:rPr>
        <w:t>万元，其他资金结转结余</w:t>
      </w:r>
      <w:r>
        <w:rPr>
          <w:rFonts w:hint="eastAsia" w:eastAsia="仿宋_GB2312" w:cstheme="minorBidi"/>
          <w:sz w:val="32"/>
          <w:szCs w:val="32"/>
          <w:highlight w:val="none"/>
          <w:u w:val="single"/>
          <w:lang w:eastAsia="zh-CN"/>
        </w:rPr>
        <w:tab/>
      </w:r>
      <w:r>
        <w:rPr>
          <w:rFonts w:hint="eastAsia" w:eastAsia="仿宋_GB2312" w:cstheme="minorBidi"/>
          <w:sz w:val="32"/>
          <w:szCs w:val="32"/>
          <w:highlight w:val="none"/>
          <w:u w:val="single"/>
          <w:lang w:val="en-US" w:eastAsia="zh-CN"/>
        </w:rPr>
        <w:t xml:space="preserve">   </w:t>
      </w:r>
      <w:r>
        <w:rPr>
          <w:rFonts w:hint="eastAsia" w:eastAsia="仿宋_GB2312" w:cstheme="minorBidi"/>
          <w:sz w:val="32"/>
          <w:szCs w:val="32"/>
          <w:highlight w:val="none"/>
          <w:u w:val="none"/>
          <w:lang w:val="en-US" w:eastAsia="zh-CN"/>
        </w:rPr>
        <w:t>万元。</w:t>
      </w:r>
    </w:p>
    <w:p>
      <w:pPr>
        <w:pageBreakBefore w:val="0"/>
        <w:widowControl w:val="0"/>
        <w:kinsoku/>
        <w:wordWrap/>
        <w:overflowPunct/>
        <w:topLinePunct w:val="0"/>
        <w:autoSpaceDE/>
        <w:autoSpaceDN/>
        <w:bidi w:val="0"/>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rPr>
        <w:t>十</w:t>
      </w:r>
      <w:r>
        <w:rPr>
          <w:rFonts w:hint="eastAsia" w:eastAsia="黑体" w:cs="黑体"/>
          <w:b/>
          <w:bCs/>
          <w:sz w:val="32"/>
          <w:szCs w:val="36"/>
          <w:highlight w:val="none"/>
          <w:lang w:val="en-US" w:eastAsia="zh-CN"/>
        </w:rPr>
        <w:t>一</w:t>
      </w:r>
      <w:r>
        <w:rPr>
          <w:rFonts w:hint="eastAsia" w:eastAsia="黑体" w:cs="黑体"/>
          <w:b/>
          <w:bCs/>
          <w:sz w:val="32"/>
          <w:szCs w:val="36"/>
          <w:highlight w:val="none"/>
        </w:rPr>
        <w:t>、</w:t>
      </w:r>
      <w:r>
        <w:rPr>
          <w:rFonts w:hint="eastAsia" w:eastAsia="黑体" w:cs="黑体"/>
          <w:b/>
          <w:bCs/>
          <w:sz w:val="32"/>
          <w:szCs w:val="36"/>
          <w:highlight w:val="none"/>
          <w:lang w:val="en-US" w:eastAsia="zh-CN"/>
        </w:rPr>
        <w:t>一般公共预算</w:t>
      </w:r>
      <w:r>
        <w:rPr>
          <w:rFonts w:hint="eastAsia" w:eastAsia="黑体" w:cs="黑体"/>
          <w:b/>
          <w:bCs/>
          <w:sz w:val="32"/>
          <w:szCs w:val="36"/>
          <w:highlight w:val="none"/>
        </w:rPr>
        <w:t>机关运行经费支出决算情况说明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u w:val="single"/>
          <w:lang w:val="en-US" w:eastAsia="zh-CN"/>
        </w:rPr>
        <w:t>XX部门（单位）</w:t>
      </w:r>
      <w:r>
        <w:rPr>
          <w:rFonts w:hint="eastAsia" w:ascii="仿宋" w:hAnsi="仿宋" w:eastAsia="仿宋" w:cs="仿宋"/>
          <w:sz w:val="32"/>
          <w:szCs w:val="32"/>
          <w:highlight w:val="none"/>
          <w:lang w:eastAsia="zh-CN"/>
        </w:rPr>
        <w:t>XX年度机关运行经费支出决算</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万元。比上年决算相比，增加（减少）</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万元，增长（减少）</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%，变动原因：……。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i/>
          <w:iCs/>
          <w:sz w:val="32"/>
          <w:szCs w:val="32"/>
          <w:highlight w:val="none"/>
          <w:lang w:val="en-US" w:eastAsia="zh-CN"/>
        </w:rPr>
      </w:pPr>
      <w:r>
        <w:rPr>
          <w:rFonts w:hint="eastAsia" w:ascii="仿宋" w:hAnsi="仿宋" w:eastAsia="仿宋" w:cs="仿宋"/>
          <w:i/>
          <w:iCs/>
          <w:sz w:val="32"/>
          <w:szCs w:val="32"/>
          <w:highlight w:val="none"/>
          <w:lang w:val="en-US" w:eastAsia="zh-CN"/>
        </w:rPr>
        <w:t>（特别强调：部门、参公事业单位、其他事业单位依据“公开07表一般公共预算财政拨款基本支出决算明细表”公用经费合计数填列）。</w:t>
      </w:r>
    </w:p>
    <w:p>
      <w:pPr>
        <w:pageBreakBefore w:val="0"/>
        <w:widowControl w:val="0"/>
        <w:kinsoku/>
        <w:wordWrap/>
        <w:overflowPunct/>
        <w:topLinePunct w:val="0"/>
        <w:autoSpaceDE/>
        <w:autoSpaceDN/>
        <w:bidi w:val="0"/>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rPr>
        <w:t>十</w:t>
      </w:r>
      <w:r>
        <w:rPr>
          <w:rFonts w:hint="eastAsia" w:eastAsia="黑体" w:cs="黑体"/>
          <w:b/>
          <w:bCs/>
          <w:sz w:val="32"/>
          <w:szCs w:val="36"/>
          <w:highlight w:val="none"/>
          <w:lang w:val="en-US" w:eastAsia="zh-CN"/>
        </w:rPr>
        <w:t>二</w:t>
      </w:r>
      <w:r>
        <w:rPr>
          <w:rFonts w:hint="eastAsia" w:eastAsia="黑体" w:cs="黑体"/>
          <w:b/>
          <w:bCs/>
          <w:sz w:val="32"/>
          <w:szCs w:val="36"/>
          <w:highlight w:val="none"/>
        </w:rPr>
        <w:t>、政府采购支出决算情况说明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u w:val="single"/>
          <w:lang w:val="en-US" w:eastAsia="zh-CN"/>
        </w:rPr>
        <w:t>XX部门（单位）</w:t>
      </w:r>
      <w:r>
        <w:rPr>
          <w:rFonts w:hint="eastAsia" w:ascii="仿宋" w:hAnsi="仿宋" w:eastAsia="仿宋" w:cs="仿宋"/>
          <w:sz w:val="32"/>
          <w:szCs w:val="32"/>
          <w:highlight w:val="none"/>
          <w:lang w:eastAsia="zh-CN"/>
        </w:rPr>
        <w:t>XX年度政府采购支出总额</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万元，其中：政府采购货物支出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万元、政府采购工程支出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万元、政府采购服务支出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万元。政府采购授予中小企业合同金额</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万元，占政府采购支出总额的</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%，其中：授予小微企业合同金额</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万元，占政府采购支出总额的</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i/>
          <w:iCs/>
          <w:sz w:val="32"/>
          <w:szCs w:val="32"/>
          <w:highlight w:val="none"/>
          <w:lang w:val="en-US" w:eastAsia="zh-CN"/>
        </w:rPr>
      </w:pPr>
      <w:r>
        <w:rPr>
          <w:rFonts w:hint="eastAsia" w:ascii="仿宋" w:hAnsi="仿宋" w:eastAsia="仿宋" w:cs="仿宋"/>
          <w:i/>
          <w:iCs/>
          <w:sz w:val="32"/>
          <w:szCs w:val="32"/>
          <w:highlight w:val="none"/>
          <w:lang w:val="en-US" w:eastAsia="zh-CN"/>
        </w:rPr>
        <w:t>（特别强调：依据“公开11表机构运行经费支出、国有资产占用情况及政府采购支出信息表”数据填列。）</w:t>
      </w:r>
    </w:p>
    <w:p>
      <w:pPr>
        <w:pageBreakBefore w:val="0"/>
        <w:widowControl w:val="0"/>
        <w:kinsoku/>
        <w:wordWrap/>
        <w:overflowPunct/>
        <w:topLinePunct w:val="0"/>
        <w:autoSpaceDE/>
        <w:autoSpaceDN/>
        <w:bidi w:val="0"/>
        <w:spacing w:line="560" w:lineRule="exact"/>
        <w:ind w:firstLine="642" w:firstLineChars="200"/>
        <w:textAlignment w:val="auto"/>
        <w:outlineLvl w:val="0"/>
        <w:rPr>
          <w:rFonts w:eastAsia="黑体" w:cs="黑体"/>
          <w:b/>
          <w:bCs/>
          <w:sz w:val="32"/>
          <w:szCs w:val="36"/>
          <w:highlight w:val="none"/>
        </w:rPr>
      </w:pPr>
      <w:r>
        <w:rPr>
          <w:rFonts w:hint="eastAsia" w:eastAsia="黑体" w:cs="黑体"/>
          <w:b/>
          <w:bCs/>
          <w:sz w:val="32"/>
          <w:szCs w:val="36"/>
          <w:highlight w:val="none"/>
        </w:rPr>
        <w:t>十</w:t>
      </w:r>
      <w:r>
        <w:rPr>
          <w:rFonts w:hint="eastAsia" w:eastAsia="黑体" w:cs="黑体"/>
          <w:b/>
          <w:bCs/>
          <w:sz w:val="32"/>
          <w:szCs w:val="36"/>
          <w:highlight w:val="none"/>
          <w:lang w:val="en-US" w:eastAsia="zh-CN"/>
        </w:rPr>
        <w:t>三</w:t>
      </w:r>
      <w:r>
        <w:rPr>
          <w:rFonts w:hint="eastAsia" w:eastAsia="黑体" w:cs="黑体"/>
          <w:b/>
          <w:bCs/>
          <w:sz w:val="32"/>
          <w:szCs w:val="36"/>
          <w:highlight w:val="none"/>
        </w:rPr>
        <w:t>、国有资产占用情况说明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u w:val="single"/>
          <w:lang w:val="en-US" w:eastAsia="zh-CN"/>
        </w:rPr>
        <w:t>XX部门（单位）</w:t>
      </w:r>
      <w:r>
        <w:rPr>
          <w:rFonts w:hint="eastAsia" w:ascii="仿宋" w:hAnsi="仿宋" w:eastAsia="仿宋" w:cs="仿宋"/>
          <w:sz w:val="32"/>
          <w:szCs w:val="32"/>
          <w:highlight w:val="none"/>
          <w:lang w:eastAsia="zh-CN"/>
        </w:rPr>
        <w:t>截至XX年12月31日，本部门（单位）共有车辆</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辆，其中：副部（省）级及以上领导用车</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辆、主要领导干部用车</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辆、机要通信用车</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辆、应急保障用车</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辆、执法执勤用车</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辆、特种专业技术用车</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辆、离退休干部用车</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辆，其他用车</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辆；单价50万元（含）以上的通用设备</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台（套），单价100万元（含）以上的专用设备</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sz w:val="32"/>
          <w:szCs w:val="32"/>
          <w:highlight w:val="none"/>
          <w:lang w:eastAsia="zh-CN"/>
        </w:rPr>
        <w:t>台（套）。</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i/>
          <w:iCs/>
          <w:sz w:val="32"/>
          <w:szCs w:val="32"/>
          <w:highlight w:val="none"/>
          <w:lang w:val="en-US" w:eastAsia="zh-CN"/>
        </w:rPr>
      </w:pPr>
      <w:r>
        <w:rPr>
          <w:rFonts w:hint="eastAsia" w:ascii="仿宋" w:hAnsi="仿宋" w:eastAsia="仿宋" w:cs="仿宋"/>
          <w:i/>
          <w:iCs/>
          <w:sz w:val="32"/>
          <w:szCs w:val="32"/>
          <w:highlight w:val="none"/>
          <w:lang w:val="en-US" w:eastAsia="zh-CN"/>
        </w:rPr>
        <w:t>（特别强调：依据“公开11表机构运行经费支出、国有资产占用情况及政府采购支出信息表”数据填列。）</w:t>
      </w:r>
    </w:p>
    <w:p>
      <w:pPr>
        <w:pageBreakBefore w:val="0"/>
        <w:widowControl w:val="0"/>
        <w:kinsoku/>
        <w:wordWrap/>
        <w:overflowPunct/>
        <w:topLinePunct w:val="0"/>
        <w:autoSpaceDE/>
        <w:autoSpaceDN/>
        <w:bidi w:val="0"/>
        <w:spacing w:line="560" w:lineRule="exact"/>
        <w:ind w:firstLine="642" w:firstLineChars="200"/>
        <w:textAlignment w:val="auto"/>
        <w:outlineLvl w:val="0"/>
        <w:rPr>
          <w:rFonts w:hint="default" w:eastAsia="黑体" w:cs="黑体"/>
          <w:b/>
          <w:bCs/>
          <w:sz w:val="32"/>
          <w:szCs w:val="36"/>
          <w:highlight w:val="none"/>
          <w:lang w:val="en-US" w:eastAsia="zh-CN"/>
        </w:rPr>
      </w:pPr>
      <w:r>
        <w:rPr>
          <w:rFonts w:hint="eastAsia" w:eastAsia="黑体" w:cs="黑体"/>
          <w:b/>
          <w:bCs/>
          <w:sz w:val="32"/>
          <w:szCs w:val="36"/>
          <w:highlight w:val="none"/>
        </w:rPr>
        <w:t>十</w:t>
      </w:r>
      <w:r>
        <w:rPr>
          <w:rFonts w:hint="eastAsia" w:eastAsia="黑体" w:cs="黑体"/>
          <w:b/>
          <w:bCs/>
          <w:sz w:val="32"/>
          <w:szCs w:val="36"/>
          <w:highlight w:val="none"/>
          <w:lang w:val="en-US" w:eastAsia="zh-CN"/>
        </w:rPr>
        <w:t>四</w:t>
      </w:r>
      <w:r>
        <w:rPr>
          <w:rFonts w:hint="eastAsia" w:eastAsia="黑体" w:cs="黑体"/>
          <w:b/>
          <w:bCs/>
          <w:sz w:val="32"/>
          <w:szCs w:val="36"/>
          <w:highlight w:val="none"/>
        </w:rPr>
        <w:t>、预算绩效评价工作开展情况</w:t>
      </w:r>
    </w:p>
    <w:p>
      <w:pPr>
        <w:pStyle w:val="5"/>
        <w:keepNext/>
        <w:keepLines/>
        <w:pageBreakBefore w:val="0"/>
        <w:widowControl w:val="0"/>
        <w:kinsoku/>
        <w:wordWrap/>
        <w:overflowPunct/>
        <w:topLinePunct w:val="0"/>
        <w:autoSpaceDE/>
        <w:autoSpaceDN/>
        <w:bidi w:val="0"/>
        <w:adjustRightInd w:val="0"/>
        <w:snapToGrid w:val="0"/>
        <w:spacing w:before="0" w:after="0" w:line="560" w:lineRule="exact"/>
        <w:ind w:firstLine="643"/>
        <w:textAlignment w:val="auto"/>
        <w:rPr>
          <w:rFonts w:hint="eastAsia" w:ascii="Times New Roman" w:hAnsi="Times New Roman" w:eastAsia="楷体"/>
          <w:highlight w:val="none"/>
          <w:lang w:val="en-US" w:eastAsia="zh-CN"/>
        </w:rPr>
      </w:pPr>
      <w:r>
        <w:rPr>
          <w:rFonts w:hint="eastAsia" w:ascii="Times New Roman" w:hAnsi="Times New Roman" w:eastAsia="楷体"/>
          <w:highlight w:val="none"/>
          <w:lang w:val="en-US" w:eastAsia="zh-CN"/>
        </w:rPr>
        <w:t>（一）预算绩效管理工作开展情况。</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sz w:val="32"/>
          <w:szCs w:val="32"/>
          <w:highlight w:val="none"/>
          <w:lang w:val="en-US" w:eastAsia="zh-CN"/>
        </w:rPr>
        <w:t>根据预算绩效管理要求，本部门（单位）组织对XX年一般公共预算项目支出全面开展绩效自评，其中一级项目</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个，二级项目</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个，共涉及资金</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万元，占一般公共预算项目支出总额的100%（必须达到100%）；政府性基金预算项目</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个，其中，一级项目</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个，二级项目</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个，共涉及资金</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万元，占应纳入绩效自评的政府性基金预算项目支出总额的100%；......（如有国有资本经营预算、社保基金预算、政府债务项目、政府投资基金项目、PPP项目和政府采购及政府购买等继续填列）。</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组织对“A项目”、“B项目”、“C项目”等</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个项目开展了部门（单位）评价（此处即为重点评价内容），涉及一般公共预算支出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万元，政府性基金支出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万元，.....（还有其他类资金的项目继续填列）。其中，对“A项目”、“B项目”、“C项目”等项目分别委托相关第三方机构开展绩效评价。从评价情况看，以上项目......（此部门写重点评价的总结性评价结果，不是重点绩效评价报告全文）。</w:t>
      </w:r>
    </w:p>
    <w:p>
      <w:pPr>
        <w:pStyle w:val="5"/>
        <w:keepNext/>
        <w:keepLines/>
        <w:pageBreakBefore w:val="0"/>
        <w:widowControl w:val="0"/>
        <w:kinsoku/>
        <w:wordWrap/>
        <w:overflowPunct/>
        <w:topLinePunct w:val="0"/>
        <w:autoSpaceDE/>
        <w:autoSpaceDN/>
        <w:bidi w:val="0"/>
        <w:adjustRightInd w:val="0"/>
        <w:snapToGrid w:val="0"/>
        <w:spacing w:before="0" w:after="0" w:line="560" w:lineRule="exact"/>
        <w:ind w:firstLine="643"/>
        <w:textAlignment w:val="auto"/>
        <w:rPr>
          <w:rFonts w:hint="eastAsia" w:ascii="Times New Roman" w:hAnsi="Times New Roman" w:eastAsia="楷体"/>
          <w:highlight w:val="none"/>
          <w:lang w:val="en-US" w:eastAsia="zh-CN"/>
        </w:rPr>
      </w:pPr>
      <w:r>
        <w:rPr>
          <w:rFonts w:hint="eastAsia" w:ascii="Times New Roman" w:hAnsi="Times New Roman" w:eastAsia="楷体"/>
          <w:highlight w:val="none"/>
          <w:lang w:val="en-US" w:eastAsia="zh-CN"/>
        </w:rPr>
        <w:t>（二）部门（单位）决算中项目绩效自评结果。</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本部门（单位）XX年在部门决算中反映“A项目”、“B项目”、“C项目”等</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个一般公共预算项目，以及“D项目”、“E项目”等</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个政府性基金项目， ......（还有其他资金的项目继续填列）共</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个项目的绩效自评结果。</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1.......项目自评综述：根据年初设定的绩效目标，项目自评得分</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分。全年预算数为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万元，执行数为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万元，完成预算的</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%。项目绩效目标完成情况：（简述核心绩效指标完成情况）。发现的主要问题及原因：（简述）。下一步改进措施：（简述）。</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2.......项目自评综述：</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......（以此类推）</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w:t>
      </w:r>
      <w:r>
        <w:rPr>
          <w:rFonts w:hint="eastAsia" w:ascii="仿宋" w:hAnsi="仿宋" w:eastAsia="仿宋" w:cs="仿宋"/>
          <w:b w:val="0"/>
          <w:bCs w:val="0"/>
          <w:i/>
          <w:iCs/>
          <w:sz w:val="32"/>
          <w:szCs w:val="32"/>
          <w:highlight w:val="none"/>
          <w:u w:val="none"/>
          <w:lang w:val="en-US" w:eastAsia="zh-CN"/>
        </w:rPr>
        <w:t>所有项目自评综述完成后，按项目顺序列示项目支出绩效自评表，一个项目一张项目支出绩效自评表。附件4</w:t>
      </w:r>
      <w:r>
        <w:rPr>
          <w:rFonts w:hint="eastAsia" w:ascii="仿宋" w:hAnsi="仿宋" w:eastAsia="仿宋" w:cs="仿宋"/>
          <w:b w:val="0"/>
          <w:bCs w:val="0"/>
          <w:sz w:val="32"/>
          <w:szCs w:val="32"/>
          <w:highlight w:val="none"/>
          <w:u w:val="none"/>
          <w:lang w:val="en-US" w:eastAsia="zh-CN"/>
        </w:rPr>
        <w:t>）</w:t>
      </w:r>
    </w:p>
    <w:p>
      <w:pPr>
        <w:pStyle w:val="5"/>
        <w:keepNext/>
        <w:keepLines/>
        <w:pageBreakBefore w:val="0"/>
        <w:widowControl w:val="0"/>
        <w:kinsoku/>
        <w:wordWrap/>
        <w:overflowPunct/>
        <w:topLinePunct w:val="0"/>
        <w:autoSpaceDE/>
        <w:autoSpaceDN/>
        <w:bidi w:val="0"/>
        <w:adjustRightInd w:val="0"/>
        <w:snapToGrid w:val="0"/>
        <w:spacing w:before="0" w:after="0" w:line="560" w:lineRule="exact"/>
        <w:ind w:firstLine="643"/>
        <w:textAlignment w:val="auto"/>
        <w:rPr>
          <w:rFonts w:hint="eastAsia" w:ascii="Times New Roman" w:hAnsi="Times New Roman" w:eastAsia="楷体"/>
          <w:highlight w:val="none"/>
          <w:lang w:val="en-US" w:eastAsia="zh-CN"/>
        </w:rPr>
      </w:pPr>
      <w:r>
        <w:rPr>
          <w:rFonts w:hint="eastAsia" w:ascii="Times New Roman" w:hAnsi="Times New Roman" w:eastAsia="楷体"/>
          <w:highlight w:val="none"/>
          <w:lang w:val="en-US" w:eastAsia="zh-CN"/>
        </w:rPr>
        <w:t>（三）部门评价项目绩效评价结果。</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以A项目为例，该项目绩效评价综合得分为</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分，绩效评价结果为“优”。重点项目绩效评价得分情况详见部门（单位）具体绩效评价结果。</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w:t>
      </w:r>
      <w:r>
        <w:rPr>
          <w:rFonts w:hint="eastAsia" w:ascii="仿宋" w:hAnsi="仿宋" w:eastAsia="仿宋" w:cs="仿宋"/>
          <w:b w:val="0"/>
          <w:bCs w:val="0"/>
          <w:i/>
          <w:iCs/>
          <w:sz w:val="32"/>
          <w:szCs w:val="32"/>
          <w:highlight w:val="none"/>
          <w:u w:val="none"/>
          <w:lang w:val="en-US" w:eastAsia="zh-CN"/>
        </w:rPr>
        <w:t>从部门（单位）评价报告选择一例报告进行公示，报告模板参考项目支出绩效管理办法关于绩效评价报告要求。</w:t>
      </w:r>
      <w:r>
        <w:rPr>
          <w:rFonts w:hint="eastAsia" w:ascii="仿宋" w:hAnsi="仿宋" w:eastAsia="仿宋" w:cs="仿宋"/>
          <w:b w:val="0"/>
          <w:bCs w:val="0"/>
          <w:sz w:val="32"/>
          <w:szCs w:val="32"/>
          <w:highlight w:val="none"/>
          <w:u w:val="none"/>
          <w:lang w:val="en-US" w:eastAsia="zh-CN"/>
        </w:rPr>
        <w:t>）</w:t>
      </w:r>
    </w:p>
    <w:p>
      <w:pPr>
        <w:pStyle w:val="6"/>
        <w:tabs>
          <w:tab w:val="left" w:pos="4392"/>
        </w:tabs>
        <w:spacing w:line="509" w:lineRule="exact"/>
        <w:ind w:left="12" w:leftChars="0" w:hanging="12"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第</w:t>
      </w:r>
      <w:r>
        <w:rPr>
          <w:rFonts w:hint="eastAsia" w:ascii="方正小标宋简体" w:hAnsi="方正小标宋简体" w:eastAsia="方正小标宋简体" w:cs="方正小标宋简体"/>
          <w:sz w:val="36"/>
          <w:szCs w:val="36"/>
          <w:highlight w:val="none"/>
          <w:lang w:val="en-US" w:eastAsia="zh-CN"/>
        </w:rPr>
        <w:t>三</w:t>
      </w:r>
      <w:r>
        <w:rPr>
          <w:rFonts w:hint="eastAsia" w:ascii="方正小标宋简体" w:hAnsi="方正小标宋简体" w:eastAsia="方正小标宋简体" w:cs="方正小标宋简体"/>
          <w:sz w:val="36"/>
          <w:szCs w:val="36"/>
          <w:highlight w:val="none"/>
        </w:rPr>
        <w:t>部分</w:t>
      </w:r>
      <w:r>
        <w:rPr>
          <w:rFonts w:hint="eastAsia" w:ascii="方正小标宋简体" w:hAnsi="方正小标宋简体" w:eastAsia="方正小标宋简体" w:cs="方正小标宋简体"/>
          <w:sz w:val="36"/>
          <w:szCs w:val="36"/>
          <w:highlight w:val="none"/>
          <w:lang w:val="en-US" w:eastAsia="zh-CN"/>
        </w:rPr>
        <w:t xml:space="preserve"> </w:t>
      </w:r>
      <w:r>
        <w:rPr>
          <w:rFonts w:hint="eastAsia" w:ascii="方正小标宋简体" w:hAnsi="方正小标宋简体" w:eastAsia="方正小标宋简体" w:cs="方正小标宋简体"/>
          <w:sz w:val="36"/>
          <w:szCs w:val="36"/>
          <w:highlight w:val="none"/>
        </w:rPr>
        <w:t>名词解释</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一、财政拨款收入：</w:t>
      </w:r>
      <w:r>
        <w:rPr>
          <w:rFonts w:hint="eastAsia" w:ascii="仿宋" w:hAnsi="仿宋" w:eastAsia="仿宋" w:cs="仿宋"/>
          <w:sz w:val="32"/>
          <w:szCs w:val="32"/>
          <w:highlight w:val="none"/>
          <w:lang w:eastAsia="zh-CN"/>
        </w:rPr>
        <w:t>指单位从同级财政部门取得的各类财政拨款，包括一般公共预算财政拨款、政府性基金预算财政拨款、国有资本经营预算财政拨款。</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二、上级补助收入：</w:t>
      </w:r>
      <w:r>
        <w:rPr>
          <w:rFonts w:hint="eastAsia" w:ascii="仿宋" w:hAnsi="仿宋" w:eastAsia="仿宋" w:cs="仿宋"/>
          <w:sz w:val="32"/>
          <w:szCs w:val="32"/>
          <w:highlight w:val="none"/>
          <w:lang w:eastAsia="zh-CN"/>
        </w:rPr>
        <w:t>指事业单位从主管部门和上级单位取得的非财政补助收入。</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三、财政专户管理教育收费：</w:t>
      </w:r>
      <w:r>
        <w:rPr>
          <w:rFonts w:hint="eastAsia" w:ascii="仿宋" w:hAnsi="仿宋" w:eastAsia="仿宋" w:cs="仿宋"/>
          <w:sz w:val="32"/>
          <w:szCs w:val="32"/>
          <w:highlight w:val="none"/>
          <w:lang w:eastAsia="zh-CN"/>
        </w:rPr>
        <w:t>指缴入财政专户、实行专项管理的高中以上学费、住宿费、高校委托培养费、函大、电大、夜大及短训班培训费等教育收费。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四、事业收入：</w:t>
      </w:r>
      <w:r>
        <w:rPr>
          <w:rFonts w:hint="eastAsia" w:ascii="仿宋" w:hAnsi="仿宋" w:eastAsia="仿宋" w:cs="仿宋"/>
          <w:sz w:val="32"/>
          <w:szCs w:val="32"/>
          <w:highlight w:val="none"/>
          <w:lang w:eastAsia="zh-CN"/>
        </w:rPr>
        <w:t>指事业单位开展专业业务活动及其辅助活动取得的收入。</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五、经营收入：</w:t>
      </w:r>
      <w:r>
        <w:rPr>
          <w:rFonts w:hint="eastAsia" w:ascii="仿宋" w:hAnsi="仿宋" w:eastAsia="仿宋" w:cs="仿宋"/>
          <w:sz w:val="32"/>
          <w:szCs w:val="32"/>
          <w:highlight w:val="none"/>
          <w:lang w:eastAsia="zh-CN"/>
        </w:rPr>
        <w:t>指事业单位在专业业务活动及其辅助活动之外开展非独立核算经营活动取得的收入。</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六、附属单位上缴收入：</w:t>
      </w:r>
      <w:r>
        <w:rPr>
          <w:rFonts w:hint="eastAsia" w:ascii="仿宋" w:hAnsi="仿宋" w:eastAsia="仿宋" w:cs="仿宋"/>
          <w:sz w:val="32"/>
          <w:szCs w:val="32"/>
          <w:highlight w:val="none"/>
          <w:lang w:eastAsia="zh-CN"/>
        </w:rPr>
        <w:t>指事业单位附属独立核算单位按照有关规定上缴的收入。</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七、其他收入：</w:t>
      </w:r>
      <w:r>
        <w:rPr>
          <w:rFonts w:hint="eastAsia" w:ascii="仿宋" w:hAnsi="仿宋" w:eastAsia="仿宋" w:cs="仿宋"/>
          <w:sz w:val="32"/>
          <w:szCs w:val="32"/>
          <w:highlight w:val="none"/>
          <w:lang w:eastAsia="zh-CN"/>
        </w:rPr>
        <w:t>指单位取得的除上述“财政拨款收入”、“上级补助收入”、“事业收入”、“经营收入”、“附属单位上缴收入”等以外的各项收入。</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八、使用非财政拨款结余：</w:t>
      </w:r>
      <w:r>
        <w:rPr>
          <w:rFonts w:hint="eastAsia" w:ascii="仿宋" w:hAnsi="仿宋" w:eastAsia="仿宋" w:cs="仿宋"/>
          <w:sz w:val="32"/>
          <w:szCs w:val="32"/>
          <w:highlight w:val="none"/>
          <w:lang w:eastAsia="zh-CN"/>
        </w:rPr>
        <w:t>指事业单位按照预算管理要求使用非财政拨款结余（原事业基金）弥补当年收支差额的数额。</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九、年初结转和结余：</w:t>
      </w:r>
      <w:r>
        <w:rPr>
          <w:rFonts w:hint="eastAsia" w:ascii="仿宋" w:hAnsi="仿宋" w:eastAsia="仿宋" w:cs="仿宋"/>
          <w:sz w:val="32"/>
          <w:szCs w:val="32"/>
          <w:highlight w:val="none"/>
          <w:lang w:eastAsia="zh-CN"/>
        </w:rPr>
        <w:t>指单位上年结转本年使用的基本支出结转、项目支出结转和结余、经营结余。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十、结余分配：</w:t>
      </w:r>
      <w:r>
        <w:rPr>
          <w:rFonts w:hint="eastAsia" w:ascii="仿宋" w:hAnsi="仿宋" w:eastAsia="仿宋" w:cs="仿宋"/>
          <w:sz w:val="32"/>
          <w:szCs w:val="32"/>
          <w:highlight w:val="none"/>
          <w:lang w:eastAsia="zh-CN"/>
        </w:rPr>
        <w:t>指事业单位按规定缴纳的所得税以及从非财政拨款结余中提取各类结余的情况。</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十一、年末结转和结余资金：</w:t>
      </w:r>
      <w:r>
        <w:rPr>
          <w:rFonts w:hint="eastAsia" w:ascii="仿宋" w:hAnsi="仿宋" w:eastAsia="仿宋" w:cs="仿宋"/>
          <w:sz w:val="32"/>
          <w:szCs w:val="32"/>
          <w:highlight w:val="none"/>
          <w:lang w:eastAsia="zh-CN"/>
        </w:rPr>
        <w:t>指单位结转下年的基本支出结转、项目支出结转和结余、经营结余。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十二、基本支出：</w:t>
      </w:r>
      <w:r>
        <w:rPr>
          <w:rFonts w:hint="eastAsia" w:ascii="仿宋" w:hAnsi="仿宋" w:eastAsia="仿宋" w:cs="仿宋"/>
          <w:sz w:val="32"/>
          <w:szCs w:val="32"/>
          <w:highlight w:val="none"/>
          <w:lang w:eastAsia="zh-CN"/>
        </w:rPr>
        <w:t>指为保障机构正常运转、完成日常工作任务所发生的支出，包括人员经费和公用经费。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十三、项目支出：</w:t>
      </w:r>
      <w:r>
        <w:rPr>
          <w:rFonts w:hint="eastAsia" w:ascii="仿宋" w:hAnsi="仿宋" w:eastAsia="仿宋" w:cs="仿宋"/>
          <w:sz w:val="32"/>
          <w:szCs w:val="32"/>
          <w:highlight w:val="none"/>
          <w:lang w:eastAsia="zh-CN"/>
        </w:rPr>
        <w:t>指在为完成特定的工作任务和事业发展目标所发生的支出。</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十四、上缴上级支出：</w:t>
      </w:r>
      <w:r>
        <w:rPr>
          <w:rFonts w:hint="eastAsia" w:ascii="仿宋" w:hAnsi="仿宋" w:eastAsia="仿宋" w:cs="仿宋"/>
          <w:sz w:val="32"/>
          <w:szCs w:val="32"/>
          <w:highlight w:val="none"/>
          <w:lang w:eastAsia="zh-CN"/>
        </w:rPr>
        <w:t>指事业单位按照财政部门和主管部门的规定上缴上级单位的支出。</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十五、经营支出：</w:t>
      </w:r>
      <w:r>
        <w:rPr>
          <w:rFonts w:hint="eastAsia" w:ascii="仿宋" w:hAnsi="仿宋" w:eastAsia="仿宋" w:cs="仿宋"/>
          <w:sz w:val="32"/>
          <w:szCs w:val="32"/>
          <w:highlight w:val="none"/>
          <w:lang w:eastAsia="zh-CN"/>
        </w:rPr>
        <w:t>指事业单位在专业业务活动及其辅助活动之外开展非独立核算经营活动发生的支出。</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十六、对附属单位补助支出：</w:t>
      </w:r>
      <w:r>
        <w:rPr>
          <w:rFonts w:hint="eastAsia" w:ascii="仿宋" w:hAnsi="仿宋" w:eastAsia="仿宋" w:cs="仿宋"/>
          <w:sz w:val="32"/>
          <w:szCs w:val="32"/>
          <w:highlight w:val="none"/>
          <w:lang w:eastAsia="zh-CN"/>
        </w:rPr>
        <w:t>指事业单位用财政拨款收入之外的收入对附属单位补助发生的支出。</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十七、“三公”经费：</w:t>
      </w:r>
      <w:r>
        <w:rPr>
          <w:rFonts w:hint="eastAsia" w:ascii="仿宋" w:hAnsi="仿宋" w:eastAsia="仿宋" w:cs="仿宋"/>
          <w:sz w:val="32"/>
          <w:szCs w:val="32"/>
          <w:highlight w:val="none"/>
          <w:lang w:eastAsia="zh-CN"/>
        </w:rPr>
        <w:t>指部门</w:t>
      </w:r>
      <w:r>
        <w:rPr>
          <w:rFonts w:hint="eastAsia" w:ascii="仿宋" w:hAnsi="仿宋" w:eastAsia="仿宋" w:cs="仿宋"/>
          <w:sz w:val="32"/>
          <w:szCs w:val="32"/>
          <w:highlight w:val="none"/>
          <w:lang w:val="en-US" w:eastAsia="zh-CN"/>
        </w:rPr>
        <w:t>/单位</w:t>
      </w:r>
      <w:r>
        <w:rPr>
          <w:rFonts w:hint="eastAsia" w:ascii="仿宋" w:hAnsi="仿宋" w:eastAsia="仿宋" w:cs="仿宋"/>
          <w:sz w:val="32"/>
          <w:szCs w:val="32"/>
          <w:highlight w:val="none"/>
          <w:lang w:eastAsia="zh-CN"/>
        </w:rPr>
        <w:t>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w:t>
      </w:r>
      <w:r>
        <w:rPr>
          <w:rFonts w:hint="eastAsia" w:ascii="仿宋" w:hAnsi="仿宋" w:eastAsia="仿宋" w:cs="仿宋"/>
          <w:sz w:val="32"/>
          <w:szCs w:val="32"/>
          <w:highlight w:val="none"/>
          <w:lang w:val="en-US" w:eastAsia="zh-CN"/>
        </w:rPr>
        <w:t>部门/</w:t>
      </w:r>
      <w:r>
        <w:rPr>
          <w:rFonts w:hint="eastAsia" w:ascii="仿宋" w:hAnsi="仿宋" w:eastAsia="仿宋" w:cs="仿宋"/>
          <w:sz w:val="32"/>
          <w:szCs w:val="32"/>
          <w:highlight w:val="none"/>
          <w:lang w:eastAsia="zh-CN"/>
        </w:rPr>
        <w:t>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eastAsia="仿宋_GB2312" w:cstheme="minorBidi"/>
          <w:sz w:val="32"/>
          <w:szCs w:val="32"/>
          <w:highlight w:val="none"/>
          <w:lang w:eastAsia="zh-CN"/>
        </w:rPr>
      </w:pPr>
      <w:r>
        <w:rPr>
          <w:rFonts w:hint="eastAsia" w:ascii="仿宋" w:hAnsi="仿宋" w:eastAsia="仿宋" w:cs="仿宋"/>
          <w:b/>
          <w:bCs/>
          <w:sz w:val="32"/>
          <w:szCs w:val="32"/>
          <w:highlight w:val="none"/>
          <w:lang w:eastAsia="zh-CN"/>
        </w:rPr>
        <w:t>十八、机关运行经费：</w:t>
      </w:r>
      <w:r>
        <w:rPr>
          <w:rFonts w:hint="eastAsia" w:eastAsia="仿宋_GB2312" w:cstheme="minorBidi"/>
          <w:sz w:val="32"/>
          <w:szCs w:val="32"/>
          <w:highlight w:val="none"/>
          <w:lang w:val="en-US" w:eastAsia="zh-CN"/>
        </w:rPr>
        <w:t>部门/</w:t>
      </w:r>
      <w:r>
        <w:rPr>
          <w:rFonts w:hint="eastAsia" w:eastAsia="仿宋_GB2312" w:cstheme="minorBidi"/>
          <w:sz w:val="32"/>
          <w:szCs w:val="32"/>
          <w:highlight w:val="none"/>
          <w:lang w:eastAsia="zh-CN"/>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rPr>
          <w:rFonts w:hint="eastAsia" w:ascii="仿宋" w:hAnsi="仿宋" w:eastAsia="仿宋" w:cs="仿宋"/>
          <w:sz w:val="32"/>
          <w:szCs w:val="32"/>
          <w:highlight w:val="none"/>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highlight w:val="none"/>
          <w:lang w:eastAsia="zh-CN"/>
        </w:rPr>
        <w:t>（各部门</w:t>
      </w:r>
      <w:r>
        <w:rPr>
          <w:rFonts w:hint="eastAsia" w:ascii="仿宋" w:hAnsi="仿宋" w:eastAsia="仿宋" w:cs="仿宋"/>
          <w:sz w:val="32"/>
          <w:szCs w:val="32"/>
          <w:highlight w:val="none"/>
          <w:lang w:val="en-US" w:eastAsia="zh-CN"/>
        </w:rPr>
        <w:t>/单位</w:t>
      </w:r>
      <w:r>
        <w:rPr>
          <w:rFonts w:hint="eastAsia" w:ascii="仿宋" w:hAnsi="仿宋" w:eastAsia="仿宋" w:cs="仿宋"/>
          <w:sz w:val="32"/>
          <w:szCs w:val="32"/>
          <w:highlight w:val="none"/>
          <w:lang w:eastAsia="zh-CN"/>
        </w:rPr>
        <w:t>应根据公开决算表中对应的经费情况进行名词解释，对未涉及的名词可以删除）</w:t>
      </w:r>
    </w:p>
    <w:p>
      <w:pPr>
        <w:pStyle w:val="6"/>
        <w:tabs>
          <w:tab w:val="left" w:pos="4392"/>
        </w:tabs>
        <w:spacing w:line="509" w:lineRule="exact"/>
        <w:ind w:left="0" w:leftChars="0" w:right="0" w:rightChars="0"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第</w:t>
      </w:r>
      <w:r>
        <w:rPr>
          <w:rFonts w:hint="eastAsia" w:ascii="方正小标宋简体" w:hAnsi="方正小标宋简体" w:eastAsia="方正小标宋简体" w:cs="方正小标宋简体"/>
          <w:sz w:val="36"/>
          <w:szCs w:val="36"/>
          <w:highlight w:val="none"/>
          <w:lang w:val="en-US" w:eastAsia="zh-CN"/>
        </w:rPr>
        <w:t>四</w:t>
      </w:r>
      <w:r>
        <w:rPr>
          <w:rFonts w:hint="eastAsia" w:ascii="方正小标宋简体" w:hAnsi="方正小标宋简体" w:eastAsia="方正小标宋简体" w:cs="方正小标宋简体"/>
          <w:sz w:val="36"/>
          <w:szCs w:val="36"/>
          <w:highlight w:val="none"/>
        </w:rPr>
        <w:t>部分XX部门（单位）</w:t>
      </w:r>
      <w:r>
        <w:rPr>
          <w:rFonts w:hint="eastAsia" w:ascii="方正小标宋简体" w:hAnsi="方正小标宋简体" w:eastAsia="方正小标宋简体" w:cs="方正小标宋简体"/>
          <w:sz w:val="36"/>
          <w:szCs w:val="36"/>
          <w:highlight w:val="none"/>
          <w:lang w:eastAsia="zh-CN"/>
        </w:rPr>
        <w:t>XX</w:t>
      </w:r>
      <w:r>
        <w:rPr>
          <w:rFonts w:hint="eastAsia" w:ascii="方正小标宋简体" w:hAnsi="方正小标宋简体" w:eastAsia="方正小标宋简体" w:cs="方正小标宋简体"/>
          <w:sz w:val="36"/>
          <w:szCs w:val="36"/>
          <w:highlight w:val="none"/>
        </w:rPr>
        <w:t>年度部门决算表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收入支出决算总表</w:t>
      </w:r>
    </w:p>
    <w:tbl>
      <w:tblPr>
        <w:tblStyle w:val="11"/>
        <w:tblW w:w="97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78"/>
        <w:gridCol w:w="586"/>
        <w:gridCol w:w="913"/>
        <w:gridCol w:w="2993"/>
        <w:gridCol w:w="586"/>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10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57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96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92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57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6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部门（单位）：</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184"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bl>
    <w:p>
      <w:pPr>
        <w:spacing w:line="230" w:lineRule="exact"/>
        <w:rPr>
          <w:rFonts w:ascii="宋体" w:eastAsia="宋体"/>
          <w:sz w:val="20"/>
          <w:highlight w:val="none"/>
        </w:rPr>
      </w:pPr>
    </w:p>
    <w:p>
      <w:pPr>
        <w:spacing w:line="230" w:lineRule="exact"/>
        <w:rPr>
          <w:rFonts w:hint="eastAsia" w:ascii="宋体" w:eastAsia="宋体"/>
          <w:sz w:val="20"/>
          <w:highlight w:val="none"/>
        </w:rPr>
      </w:pPr>
      <w:r>
        <w:rPr>
          <w:rFonts w:hint="eastAsia" w:ascii="宋体" w:eastAsia="宋体"/>
          <w:sz w:val="20"/>
          <w:highlight w:val="none"/>
        </w:rPr>
        <w:t>注：1.本表反映部门本年度的总收支和年末结转结余情况。</w:t>
      </w:r>
    </w:p>
    <w:p>
      <w:pPr>
        <w:spacing w:line="230" w:lineRule="exact"/>
        <w:rPr>
          <w:rFonts w:hint="eastAsia" w:ascii="宋体" w:eastAsia="宋体"/>
          <w:sz w:val="20"/>
          <w:highlight w:val="none"/>
          <w:lang w:eastAsia="zh-CN"/>
        </w:rPr>
        <w:sectPr>
          <w:pgSz w:w="11910" w:h="16840"/>
          <w:pgMar w:top="1134" w:right="1134" w:bottom="1340" w:left="1134" w:header="720" w:footer="720" w:gutter="0"/>
          <w:pgNumType w:fmt="numberInDash"/>
          <w:cols w:space="720" w:num="1"/>
        </w:sectPr>
      </w:pPr>
      <w:r>
        <w:rPr>
          <w:rFonts w:hint="eastAsia" w:ascii="宋体" w:eastAsia="宋体"/>
          <w:sz w:val="20"/>
          <w:highlight w:val="none"/>
          <w:lang w:eastAsia="zh-CN"/>
        </w:rPr>
        <w:t xml:space="preserve">    2.本套报表金额单位转换时可能存在尾数误差。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收入决算表</w:t>
      </w:r>
    </w:p>
    <w:tbl>
      <w:tblPr>
        <w:tblStyle w:val="11"/>
        <w:tblW w:w="143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8"/>
        <w:gridCol w:w="299"/>
        <w:gridCol w:w="240"/>
        <w:gridCol w:w="2344"/>
        <w:gridCol w:w="1236"/>
        <w:gridCol w:w="671"/>
        <w:gridCol w:w="1142"/>
        <w:gridCol w:w="1516"/>
        <w:gridCol w:w="1516"/>
        <w:gridCol w:w="671"/>
        <w:gridCol w:w="671"/>
        <w:gridCol w:w="671"/>
        <w:gridCol w:w="671"/>
        <w:gridCol w:w="671"/>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2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29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24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234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123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67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114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151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151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67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67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67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67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1342"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11" w:type="dxa"/>
            <w:gridSpan w:val="4"/>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部门（单位）：</w:t>
            </w:r>
          </w:p>
        </w:tc>
        <w:tc>
          <w:tcPr>
            <w:tcW w:w="1236"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6"/>
                <w:szCs w:val="16"/>
                <w:highlight w:val="none"/>
                <w:u w:val="none"/>
              </w:rPr>
            </w:pPr>
          </w:p>
        </w:tc>
        <w:tc>
          <w:tcPr>
            <w:tcW w:w="1342"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11"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w:t>
            </w:r>
          </w:p>
        </w:tc>
        <w:tc>
          <w:tcPr>
            <w:tcW w:w="123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本年收入合计</w:t>
            </w:r>
          </w:p>
        </w:tc>
        <w:tc>
          <w:tcPr>
            <w:tcW w:w="4845"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财政拨款收入</w:t>
            </w:r>
          </w:p>
        </w:tc>
        <w:tc>
          <w:tcPr>
            <w:tcW w:w="6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上级补助收入</w:t>
            </w:r>
          </w:p>
        </w:tc>
        <w:tc>
          <w:tcPr>
            <w:tcW w:w="13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事业收入</w:t>
            </w:r>
          </w:p>
        </w:tc>
        <w:tc>
          <w:tcPr>
            <w:tcW w:w="6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经营收入</w:t>
            </w:r>
          </w:p>
        </w:tc>
        <w:tc>
          <w:tcPr>
            <w:tcW w:w="6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附属单位上缴收入</w:t>
            </w:r>
          </w:p>
        </w:tc>
        <w:tc>
          <w:tcPr>
            <w:tcW w:w="6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功能分类科目编码</w:t>
            </w:r>
          </w:p>
        </w:tc>
        <w:tc>
          <w:tcPr>
            <w:tcW w:w="2344"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科目名称</w:t>
            </w:r>
          </w:p>
        </w:tc>
        <w:tc>
          <w:tcPr>
            <w:tcW w:w="12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6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小计</w:t>
            </w:r>
          </w:p>
        </w:tc>
        <w:tc>
          <w:tcPr>
            <w:tcW w:w="41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其中：</w:t>
            </w: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6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小计</w:t>
            </w:r>
          </w:p>
        </w:tc>
        <w:tc>
          <w:tcPr>
            <w:tcW w:w="6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其中：教育收费</w:t>
            </w: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6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2344"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12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一般公共预算财政拨款</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政府性基金预算财政拨款</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国有资本经营预算财政拨款</w:t>
            </w: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11"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栏次</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c>
          <w:tcPr>
            <w:tcW w:w="6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c>
          <w:tcPr>
            <w:tcW w:w="11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6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6</w:t>
            </w:r>
          </w:p>
        </w:tc>
        <w:tc>
          <w:tcPr>
            <w:tcW w:w="6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w:t>
            </w:r>
          </w:p>
        </w:tc>
        <w:tc>
          <w:tcPr>
            <w:tcW w:w="6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8</w:t>
            </w:r>
          </w:p>
        </w:tc>
        <w:tc>
          <w:tcPr>
            <w:tcW w:w="6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9</w:t>
            </w:r>
          </w:p>
        </w:tc>
        <w:tc>
          <w:tcPr>
            <w:tcW w:w="6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6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11"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合计</w:t>
            </w:r>
          </w:p>
        </w:tc>
        <w:tc>
          <w:tcPr>
            <w:tcW w:w="123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201</w:t>
            </w: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一般公共服务支出</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20106</w:t>
            </w: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财政事务</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2010601</w:t>
            </w: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行政运行</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2010602</w:t>
            </w: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一般行政管理事务</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2010603</w:t>
            </w: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机关服务</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2010604</w:t>
            </w: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预算改革业务</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2010605</w:t>
            </w: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财政国库业务</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2010606</w:t>
            </w: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财政监察</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2010607</w:t>
            </w: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信息化建设</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lang w:eastAsia="zh-CN"/>
              </w:rPr>
            </w:pPr>
            <w:r>
              <w:rPr>
                <w:rFonts w:hint="eastAsia" w:ascii="宋体" w:hAnsi="宋体" w:eastAsia="宋体" w:cs="宋体"/>
                <w:i w:val="0"/>
                <w:iCs w:val="0"/>
                <w:color w:val="000000"/>
                <w:sz w:val="16"/>
                <w:szCs w:val="16"/>
                <w:highlight w:val="none"/>
                <w:u w:val="none"/>
                <w:lang w:eastAsia="zh-CN"/>
              </w:rPr>
              <w:t>……</w:t>
            </w: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lang w:eastAsia="zh-CN"/>
              </w:rPr>
            </w:pPr>
            <w:r>
              <w:rPr>
                <w:rFonts w:hint="eastAsia" w:ascii="宋体" w:hAnsi="宋体" w:eastAsia="宋体" w:cs="宋体"/>
                <w:i w:val="0"/>
                <w:iCs w:val="0"/>
                <w:color w:val="000000"/>
                <w:sz w:val="16"/>
                <w:szCs w:val="16"/>
                <w:highlight w:val="none"/>
                <w:u w:val="none"/>
                <w:lang w:eastAsia="zh-CN"/>
              </w:rPr>
              <w:t>……</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2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1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c>
          <w:tcPr>
            <w:tcW w:w="6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highlight w:val="none"/>
                <w:u w:val="none"/>
              </w:rPr>
            </w:pPr>
          </w:p>
        </w:tc>
      </w:tr>
    </w:tbl>
    <w:p>
      <w:pPr>
        <w:spacing w:before="30"/>
        <w:ind w:left="228"/>
        <w:rPr>
          <w:rFonts w:ascii="宋体" w:eastAsia="宋体"/>
          <w:sz w:val="20"/>
          <w:highlight w:val="none"/>
        </w:rPr>
      </w:pPr>
      <w:r>
        <w:rPr>
          <w:rFonts w:hint="eastAsia" w:ascii="宋体" w:eastAsia="宋体"/>
          <w:w w:val="95"/>
          <w:sz w:val="20"/>
          <w:highlight w:val="none"/>
        </w:rPr>
        <w:t>注：本表反映本年度取得的各项收入情况。本表金额单位转换时可能存在尾数误差。</w:t>
      </w:r>
    </w:p>
    <w:p>
      <w:pPr>
        <w:rPr>
          <w:rFonts w:ascii="宋体" w:eastAsia="宋体"/>
          <w:sz w:val="20"/>
          <w:highlight w:val="none"/>
        </w:rPr>
        <w:sectPr>
          <w:pgSz w:w="16840" w:h="11910" w:orient="landscape"/>
          <w:pgMar w:top="1100" w:right="1320" w:bottom="280" w:left="1320" w:header="720" w:footer="720" w:gutter="0"/>
          <w:pgNumType w:fmt="numberInDash"/>
          <w:cols w:space="720" w:num="1"/>
        </w:sectPr>
      </w:pPr>
    </w:p>
    <w:p>
      <w:pPr>
        <w:spacing w:line="360" w:lineRule="auto"/>
        <w:ind w:left="0" w:leftChars="0" w:firstLine="0" w:firstLineChars="0"/>
        <w:jc w:val="center"/>
        <w:outlineLvl w:val="0"/>
        <w:rPr>
          <w:rFonts w:eastAsia="黑体" w:cs="黑体"/>
          <w:b/>
          <w:bCs/>
          <w:sz w:val="32"/>
          <w:szCs w:val="36"/>
          <w:highlight w:val="none"/>
        </w:rPr>
      </w:pPr>
      <w:r>
        <w:rPr>
          <w:rFonts w:hint="eastAsia" w:ascii="方正小标宋简体" w:hAnsi="方正小标宋简体" w:eastAsia="方正小标宋简体" w:cs="方正小标宋简体"/>
          <w:b/>
          <w:bCs/>
          <w:spacing w:val="28"/>
          <w:sz w:val="36"/>
          <w:szCs w:val="36"/>
          <w:highlight w:val="none"/>
        </w:rPr>
        <w:t>支出决算表</w:t>
      </w:r>
    </w:p>
    <w:tbl>
      <w:tblPr>
        <w:tblStyle w:val="11"/>
        <w:tblW w:w="147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5"/>
        <w:gridCol w:w="305"/>
        <w:gridCol w:w="306"/>
        <w:gridCol w:w="3589"/>
        <w:gridCol w:w="1710"/>
        <w:gridCol w:w="1710"/>
        <w:gridCol w:w="1710"/>
        <w:gridCol w:w="1710"/>
        <w:gridCol w:w="171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58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7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7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7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7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42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部门（单位）：</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17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本年支出合计</w:t>
            </w:r>
          </w:p>
        </w:tc>
        <w:tc>
          <w:tcPr>
            <w:tcW w:w="17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基本支出</w:t>
            </w:r>
          </w:p>
        </w:tc>
        <w:tc>
          <w:tcPr>
            <w:tcW w:w="17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项目支出</w:t>
            </w:r>
          </w:p>
        </w:tc>
        <w:tc>
          <w:tcPr>
            <w:tcW w:w="17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上缴上级支出</w:t>
            </w:r>
          </w:p>
        </w:tc>
        <w:tc>
          <w:tcPr>
            <w:tcW w:w="17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经营支出</w:t>
            </w:r>
          </w:p>
        </w:tc>
        <w:tc>
          <w:tcPr>
            <w:tcW w:w="17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0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0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0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栏次</w:t>
            </w:r>
          </w:p>
        </w:tc>
        <w:tc>
          <w:tcPr>
            <w:tcW w:w="17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预算改革业务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财政国库业务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财政监察</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信息化建设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财政委托业务支出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其他财政事务支出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bl>
    <w:p>
      <w:pPr>
        <w:spacing w:before="25"/>
        <w:ind w:left="225"/>
        <w:rPr>
          <w:rFonts w:ascii="宋体" w:eastAsia="宋体"/>
          <w:sz w:val="20"/>
          <w:highlight w:val="none"/>
        </w:rPr>
      </w:pPr>
      <w:r>
        <w:rPr>
          <w:rFonts w:hint="eastAsia" w:ascii="宋体" w:eastAsia="宋体"/>
          <w:w w:val="95"/>
          <w:sz w:val="20"/>
          <w:highlight w:val="none"/>
        </w:rPr>
        <w:t>注：本表反映本年度各项支出情况。本表金额单位转换时可能存在尾数误差。</w:t>
      </w:r>
    </w:p>
    <w:p>
      <w:pPr>
        <w:rPr>
          <w:rFonts w:ascii="宋体" w:eastAsia="宋体"/>
          <w:sz w:val="20"/>
          <w:highlight w:val="none"/>
        </w:rPr>
        <w:sectPr>
          <w:pgSz w:w="16840" w:h="11910" w:orient="landscape"/>
          <w:pgMar w:top="1134" w:right="1134" w:bottom="1134" w:left="1134" w:header="720" w:footer="720" w:gutter="0"/>
          <w:pgNumType w:fmt="numberInDash"/>
          <w:cols w:space="720" w:num="1"/>
        </w:sectPr>
      </w:pPr>
    </w:p>
    <w:p>
      <w:pPr>
        <w:widowControl w:val="0"/>
        <w:spacing w:after="120"/>
        <w:ind w:firstLine="400"/>
        <w:jc w:val="both"/>
        <w:rPr>
          <w:rFonts w:ascii="宋体" w:hAnsi="Times New Roman" w:eastAsia="Courier New" w:cs="Times New Roman"/>
          <w:kern w:val="2"/>
          <w:sz w:val="20"/>
          <w:szCs w:val="21"/>
          <w:highlight w:val="none"/>
          <w:lang w:val="en-US" w:eastAsia="zh-CN" w:bidi="ar-SA"/>
        </w:rPr>
      </w:pPr>
    </w:p>
    <w:p>
      <w:pPr>
        <w:spacing w:line="360" w:lineRule="auto"/>
        <w:ind w:left="0" w:leftChars="0" w:firstLine="0" w:firstLineChars="0"/>
        <w:jc w:val="center"/>
        <w:outlineLvl w:val="0"/>
        <w:rPr>
          <w:rFonts w:ascii="Times New Roman" w:hAnsi="Times New Roman" w:eastAsia="Courier New" w:cs="Times New Roman"/>
          <w:kern w:val="2"/>
          <w:sz w:val="21"/>
          <w:szCs w:val="21"/>
          <w:highlight w:val="none"/>
          <w:lang w:val="en-US" w:eastAsia="zh-CN" w:bidi="ar-SA"/>
        </w:rPr>
      </w:pPr>
      <w:r>
        <w:rPr>
          <w:rFonts w:hint="eastAsia" w:ascii="方正小标宋简体" w:hAnsi="方正小标宋简体" w:eastAsia="方正小标宋简体" w:cs="方正小标宋简体"/>
          <w:b/>
          <w:bCs/>
          <w:spacing w:val="28"/>
          <w:sz w:val="36"/>
          <w:szCs w:val="36"/>
          <w:highlight w:val="none"/>
        </w:rPr>
        <w:t>财政拨款收入支出决算总表</w:t>
      </w:r>
    </w:p>
    <w:tbl>
      <w:tblPr>
        <w:tblStyle w:val="11"/>
        <w:tblW w:w="1444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98"/>
        <w:gridCol w:w="523"/>
        <w:gridCol w:w="1410"/>
        <w:gridCol w:w="3355"/>
        <w:gridCol w:w="523"/>
        <w:gridCol w:w="1410"/>
        <w:gridCol w:w="1410"/>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9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52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4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35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52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4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4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82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部门（单位）：</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金额单位：万元</w:t>
            </w:r>
          </w:p>
        </w:tc>
      </w:tr>
    </w:tbl>
    <w:p>
      <w:pPr>
        <w:rPr>
          <w:highlight w:val="none"/>
        </w:rPr>
      </w:pPr>
    </w:p>
    <w:tbl>
      <w:tblPr>
        <w:tblStyle w:val="11"/>
        <w:tblW w:w="1444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98"/>
        <w:gridCol w:w="523"/>
        <w:gridCol w:w="1410"/>
        <w:gridCol w:w="3355"/>
        <w:gridCol w:w="523"/>
        <w:gridCol w:w="1410"/>
        <w:gridCol w:w="1410"/>
        <w:gridCol w:w="14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     入</w:t>
            </w:r>
          </w:p>
        </w:tc>
        <w:tc>
          <w:tcPr>
            <w:tcW w:w="0" w:type="auto"/>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blHeader/>
        </w:trPr>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5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w:t>
            </w:r>
          </w:p>
        </w:tc>
        <w:tc>
          <w:tcPr>
            <w:tcW w:w="3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5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一般公共预算财政拨款</w:t>
            </w:r>
          </w:p>
        </w:tc>
        <w:tc>
          <w:tcPr>
            <w:tcW w:w="14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政府性基金预算财政拨款</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一、一般公共预算财政拨款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single" w:color="auto"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二、政府性基金预算财政拨款</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二、外交支出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bl>
    <w:p>
      <w:pPr>
        <w:spacing w:line="228" w:lineRule="exact"/>
        <w:ind w:left="120"/>
        <w:rPr>
          <w:rFonts w:ascii="宋体" w:eastAsia="宋体"/>
          <w:sz w:val="20"/>
          <w:highlight w:val="none"/>
        </w:rPr>
      </w:pPr>
      <w:r>
        <w:rPr>
          <w:rFonts w:hint="eastAsia" w:ascii="宋体" w:eastAsia="宋体"/>
          <w:w w:val="95"/>
          <w:sz w:val="20"/>
          <w:highlight w:val="none"/>
        </w:rPr>
        <w:t>注：本表反映本年度一般公共预算财政拨款、政府性基金预算财政拨款和国有资本经营预算财政拨款的总收支和年末结转结余情况。本表金额单位转换时可能存</w:t>
      </w:r>
    </w:p>
    <w:p>
      <w:pPr>
        <w:spacing w:line="260" w:lineRule="exact"/>
        <w:ind w:left="120"/>
        <w:rPr>
          <w:rFonts w:ascii="宋体" w:eastAsia="宋体"/>
          <w:sz w:val="20"/>
          <w:highlight w:val="none"/>
        </w:rPr>
      </w:pPr>
      <w:r>
        <w:rPr>
          <w:rFonts w:hint="eastAsia" w:ascii="宋体" w:eastAsia="宋体"/>
          <w:w w:val="95"/>
          <w:sz w:val="20"/>
          <w:highlight w:val="none"/>
        </w:rPr>
        <w:t>在尾数误差。</w:t>
      </w:r>
    </w:p>
    <w:p>
      <w:pPr>
        <w:spacing w:line="260" w:lineRule="exact"/>
        <w:rPr>
          <w:rFonts w:ascii="宋体" w:eastAsia="宋体"/>
          <w:sz w:val="20"/>
          <w:highlight w:val="none"/>
        </w:rPr>
        <w:sectPr>
          <w:pgSz w:w="16840" w:h="11910" w:orient="landscape"/>
          <w:pgMar w:top="1100" w:right="1320" w:bottom="280" w:left="1320" w:header="720" w:footer="720" w:gutter="0"/>
          <w:pgNumType w:fmt="numberInDash"/>
          <w:cols w:space="720" w:num="1"/>
        </w:sectPr>
      </w:pPr>
    </w:p>
    <w:p>
      <w:pPr>
        <w:widowControl w:val="0"/>
        <w:spacing w:after="120"/>
        <w:ind w:firstLine="400"/>
        <w:jc w:val="both"/>
        <w:rPr>
          <w:rFonts w:ascii="宋体" w:hAnsi="Times New Roman" w:eastAsia="Courier New" w:cs="Times New Roman"/>
          <w:kern w:val="2"/>
          <w:sz w:val="20"/>
          <w:szCs w:val="21"/>
          <w:highlight w:val="none"/>
          <w:lang w:val="en-US" w:eastAsia="zh-CN" w:bidi="ar-SA"/>
        </w:rPr>
      </w:pPr>
    </w:p>
    <w:p>
      <w:pPr>
        <w:spacing w:line="360" w:lineRule="auto"/>
        <w:ind w:left="0" w:leftChars="0" w:firstLine="0" w:firstLineChars="0"/>
        <w:jc w:val="center"/>
        <w:outlineLvl w:val="0"/>
        <w:rPr>
          <w:rFonts w:hint="eastAsia"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lang w:val="en-US" w:eastAsia="zh-CN"/>
        </w:rPr>
        <w:t>项目收入</w:t>
      </w:r>
      <w:r>
        <w:rPr>
          <w:rFonts w:hint="eastAsia" w:ascii="方正小标宋简体" w:hAnsi="方正小标宋简体" w:eastAsia="方正小标宋简体" w:cs="方正小标宋简体"/>
          <w:b/>
          <w:bCs/>
          <w:spacing w:val="28"/>
          <w:sz w:val="36"/>
          <w:szCs w:val="36"/>
          <w:highlight w:val="none"/>
        </w:rPr>
        <w:t>支出决算表</w:t>
      </w:r>
    </w:p>
    <w:tbl>
      <w:tblPr>
        <w:tblStyle w:val="11"/>
        <w:tblW w:w="130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
        <w:gridCol w:w="335"/>
        <w:gridCol w:w="335"/>
        <w:gridCol w:w="1888"/>
        <w:gridCol w:w="457"/>
        <w:gridCol w:w="457"/>
        <w:gridCol w:w="457"/>
        <w:gridCol w:w="457"/>
        <w:gridCol w:w="457"/>
        <w:gridCol w:w="457"/>
        <w:gridCol w:w="457"/>
        <w:gridCol w:w="457"/>
        <w:gridCol w:w="927"/>
        <w:gridCol w:w="516"/>
        <w:gridCol w:w="681"/>
        <w:gridCol w:w="434"/>
        <w:gridCol w:w="434"/>
        <w:gridCol w:w="434"/>
        <w:gridCol w:w="434"/>
        <w:gridCol w:w="434"/>
        <w:gridCol w:w="434"/>
        <w:gridCol w:w="434"/>
        <w:gridCol w:w="492"/>
        <w:gridCol w:w="668"/>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3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3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143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5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5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5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5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5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5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5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5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93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51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68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3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3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3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3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3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3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43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1833"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6"/>
                <w:szCs w:val="16"/>
                <w:highlight w:val="none"/>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部门（单位）：</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gridSpan w:val="3"/>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91"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项目</w:t>
            </w:r>
          </w:p>
        </w:tc>
        <w:tc>
          <w:tcPr>
            <w:tcW w:w="348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资金来源</w:t>
            </w:r>
          </w:p>
        </w:tc>
        <w:tc>
          <w:tcPr>
            <w:tcW w:w="130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支出数</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使用非财政拨款结余</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结余分配</w:t>
            </w:r>
          </w:p>
        </w:tc>
        <w:tc>
          <w:tcPr>
            <w:tcW w:w="2268"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支出功能分类科目编码</w:t>
            </w:r>
          </w:p>
        </w:tc>
        <w:tc>
          <w:tcPr>
            <w:tcW w:w="14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科目名称（二级项目名称）</w:t>
            </w:r>
          </w:p>
        </w:tc>
        <w:tc>
          <w:tcPr>
            <w:tcW w:w="4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二级项目代码</w:t>
            </w:r>
          </w:p>
        </w:tc>
        <w:tc>
          <w:tcPr>
            <w:tcW w:w="4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二级项目类别</w:t>
            </w:r>
          </w:p>
        </w:tc>
        <w:tc>
          <w:tcPr>
            <w:tcW w:w="4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一级项目名称</w:t>
            </w:r>
          </w:p>
        </w:tc>
        <w:tc>
          <w:tcPr>
            <w:tcW w:w="4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一级项目代码</w:t>
            </w:r>
          </w:p>
        </w:tc>
        <w:tc>
          <w:tcPr>
            <w:tcW w:w="4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基建项目属性</w:t>
            </w:r>
          </w:p>
        </w:tc>
        <w:tc>
          <w:tcPr>
            <w:tcW w:w="4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是否横向标识</w:t>
            </w:r>
          </w:p>
        </w:tc>
        <w:tc>
          <w:tcPr>
            <w:tcW w:w="4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合计</w:t>
            </w:r>
          </w:p>
        </w:tc>
        <w:tc>
          <w:tcPr>
            <w:tcW w:w="138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年初结转和结余</w:t>
            </w:r>
          </w:p>
        </w:tc>
        <w:tc>
          <w:tcPr>
            <w:tcW w:w="120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财政拨款</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其他资金</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合计</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财政拨款</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其他资金</w:t>
            </w: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合计</w:t>
            </w:r>
          </w:p>
        </w:tc>
        <w:tc>
          <w:tcPr>
            <w:tcW w:w="183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其中：财政拨款结转和结余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14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小计</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其中：财政拨款结转和结余</w:t>
            </w:r>
          </w:p>
        </w:tc>
        <w:tc>
          <w:tcPr>
            <w:tcW w:w="5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小计</w:t>
            </w:r>
          </w:p>
        </w:tc>
        <w:tc>
          <w:tcPr>
            <w:tcW w:w="6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其中：基本建设支出拨款</w:t>
            </w: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小计</w:t>
            </w:r>
          </w:p>
        </w:tc>
        <w:tc>
          <w:tcPr>
            <w:tcW w:w="6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财政拨款结转</w:t>
            </w:r>
          </w:p>
        </w:tc>
        <w:tc>
          <w:tcPr>
            <w:tcW w:w="6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财政拨款结余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类</w:t>
            </w:r>
          </w:p>
        </w:tc>
        <w:tc>
          <w:tcPr>
            <w:tcW w:w="30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款</w:t>
            </w:r>
          </w:p>
        </w:tc>
        <w:tc>
          <w:tcPr>
            <w:tcW w:w="30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项</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栏次</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1</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3</w:t>
            </w:r>
          </w:p>
        </w:tc>
        <w:tc>
          <w:tcPr>
            <w:tcW w:w="5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4</w:t>
            </w:r>
          </w:p>
        </w:tc>
        <w:tc>
          <w:tcPr>
            <w:tcW w:w="6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5</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6</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7</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8</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9</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10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11</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12</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13</w:t>
            </w:r>
          </w:p>
        </w:tc>
        <w:tc>
          <w:tcPr>
            <w:tcW w:w="6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14</w:t>
            </w:r>
          </w:p>
        </w:tc>
        <w:tc>
          <w:tcPr>
            <w:tcW w:w="6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30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30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highlight w:val="none"/>
                <w:u w:val="none"/>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合计</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4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行政运行</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 xml:space="preserve">  “草原英才”项目</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 xml:space="preserve">  综合业务运转保障经费</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 xml:space="preserve">  办公楼及附属设施运行维护费</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 xml:space="preserve">  财政干部及财政业务培训</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 xml:space="preserve">  厅级干部周转房租用费</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2010603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机关服务</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highlight w:val="none"/>
                <w:u w:val="none"/>
              </w:rPr>
            </w:pPr>
            <w:r>
              <w:rPr>
                <w:rFonts w:hint="eastAsia" w:ascii="宋体" w:hAnsi="宋体" w:eastAsia="宋体" w:cs="宋体"/>
                <w:i w:val="0"/>
                <w:iCs w:val="0"/>
                <w:color w:val="000000"/>
                <w:kern w:val="0"/>
                <w:sz w:val="12"/>
                <w:szCs w:val="12"/>
                <w:highlight w:val="none"/>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highlight w:val="none"/>
                <w:u w:val="none"/>
              </w:rPr>
            </w:pPr>
          </w:p>
        </w:tc>
      </w:tr>
    </w:tbl>
    <w:p>
      <w:pPr>
        <w:pStyle w:val="2"/>
        <w:ind w:left="0" w:leftChars="0" w:firstLine="0" w:firstLineChars="0"/>
        <w:rPr>
          <w:rFonts w:hint="eastAsia" w:eastAsia="方正小标宋简体"/>
          <w:highlight w:val="none"/>
          <w:lang w:eastAsia="zh-CN"/>
        </w:rPr>
      </w:pPr>
    </w:p>
    <w:p>
      <w:pPr>
        <w:keepNext w:val="0"/>
        <w:keepLines w:val="0"/>
        <w:pageBreakBefore/>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一般公共预算</w:t>
      </w:r>
      <w:r>
        <w:rPr>
          <w:rFonts w:hint="eastAsia" w:ascii="方正小标宋简体" w:hAnsi="方正小标宋简体" w:eastAsia="方正小标宋简体" w:cs="方正小标宋简体"/>
          <w:b/>
          <w:bCs/>
          <w:spacing w:val="28"/>
          <w:sz w:val="36"/>
          <w:szCs w:val="36"/>
          <w:highlight w:val="none"/>
          <w:lang w:val="en-US" w:eastAsia="zh-CN"/>
        </w:rPr>
        <w:t>财政拨款</w:t>
      </w:r>
      <w:r>
        <w:rPr>
          <w:rFonts w:hint="eastAsia" w:ascii="方正小标宋简体" w:hAnsi="方正小标宋简体" w:eastAsia="方正小标宋简体" w:cs="方正小标宋简体"/>
          <w:b/>
          <w:bCs/>
          <w:spacing w:val="28"/>
          <w:sz w:val="36"/>
          <w:szCs w:val="36"/>
          <w:highlight w:val="none"/>
        </w:rPr>
        <w:t>支出决算表</w:t>
      </w:r>
    </w:p>
    <w:tbl>
      <w:tblPr>
        <w:tblStyle w:val="11"/>
        <w:tblW w:w="134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3"/>
        <w:gridCol w:w="303"/>
        <w:gridCol w:w="1240"/>
        <w:gridCol w:w="4010"/>
        <w:gridCol w:w="2540"/>
        <w:gridCol w:w="2540"/>
        <w:gridCol w:w="2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24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40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54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54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54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部门（单位）：</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762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4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25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小计</w:t>
            </w:r>
          </w:p>
        </w:tc>
        <w:tc>
          <w:tcPr>
            <w:tcW w:w="25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基本支出</w:t>
            </w:r>
          </w:p>
        </w:tc>
        <w:tc>
          <w:tcPr>
            <w:tcW w:w="25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4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5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5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5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4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5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5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5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预算改革业务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财政国库业务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财政监察</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信息化建设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财政委托业务支出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2010650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r>
    </w:tbl>
    <w:p>
      <w:pPr>
        <w:spacing w:before="143"/>
        <w:ind w:left="217"/>
        <w:rPr>
          <w:rFonts w:hint="eastAsia" w:ascii="宋体" w:eastAsia="宋体"/>
          <w:w w:val="95"/>
          <w:sz w:val="20"/>
          <w:highlight w:val="none"/>
          <w:lang w:eastAsia="zh-CN"/>
        </w:rPr>
      </w:pPr>
      <w:r>
        <w:rPr>
          <w:rFonts w:hint="eastAsia" w:ascii="宋体" w:eastAsia="宋体"/>
          <w:w w:val="95"/>
          <w:sz w:val="20"/>
          <w:highlight w:val="none"/>
        </w:rPr>
        <w:t>注：本表反映本年度一般公共预算财政拨款支出情况。本表金额单位转换时可能存在尾数误差</w:t>
      </w:r>
      <w:r>
        <w:rPr>
          <w:rFonts w:hint="eastAsia" w:ascii="宋体" w:eastAsia="宋体"/>
          <w:w w:val="95"/>
          <w:sz w:val="20"/>
          <w:highlight w:val="none"/>
          <w:lang w:eastAsia="zh-CN"/>
        </w:rPr>
        <w:t>。</w:t>
      </w:r>
    </w:p>
    <w:p>
      <w:pPr>
        <w:spacing w:before="143"/>
        <w:ind w:left="217"/>
        <w:rPr>
          <w:rFonts w:ascii="宋体" w:eastAsia="宋体"/>
          <w:sz w:val="20"/>
          <w:highlight w:val="none"/>
        </w:rPr>
      </w:pPr>
      <w:r>
        <w:rPr>
          <w:rFonts w:hint="eastAsia" w:ascii="宋体" w:eastAsia="宋体"/>
          <w:w w:val="95"/>
          <w:sz w:val="20"/>
          <w:highlight w:val="none"/>
        </w:rPr>
        <w:t>注：一般公共预算支出情况表公开到功能分类项级科目。</w:t>
      </w:r>
    </w:p>
    <w:p>
      <w:pPr>
        <w:rPr>
          <w:rFonts w:ascii="宋体" w:eastAsia="宋体"/>
          <w:sz w:val="20"/>
          <w:highlight w:val="none"/>
        </w:rPr>
        <w:sectPr>
          <w:pgSz w:w="16840" w:h="11910" w:orient="landscape"/>
          <w:pgMar w:top="1100" w:right="1700" w:bottom="280" w:left="1720" w:header="720" w:footer="720" w:gutter="0"/>
          <w:pgNumType w:fmt="numberInDash"/>
          <w:cols w:space="720" w:num="1"/>
        </w:sectPr>
      </w:pPr>
    </w:p>
    <w:p>
      <w:pPr>
        <w:widowControl w:val="0"/>
        <w:spacing w:after="120"/>
        <w:ind w:firstLine="400"/>
        <w:jc w:val="both"/>
        <w:rPr>
          <w:rFonts w:ascii="宋体" w:hAnsi="Times New Roman" w:eastAsia="Courier New" w:cs="Times New Roman"/>
          <w:kern w:val="2"/>
          <w:sz w:val="20"/>
          <w:szCs w:val="21"/>
          <w:highlight w:val="none"/>
          <w:lang w:val="en-US" w:eastAsia="zh-CN" w:bidi="ar-SA"/>
        </w:rPr>
      </w:pPr>
    </w:p>
    <w:p>
      <w:pPr>
        <w:widowControl w:val="0"/>
        <w:spacing w:after="120"/>
        <w:ind w:firstLine="400"/>
        <w:jc w:val="both"/>
        <w:rPr>
          <w:rFonts w:ascii="宋体" w:hAnsi="Times New Roman" w:eastAsia="Courier New" w:cs="Times New Roman"/>
          <w:kern w:val="2"/>
          <w:sz w:val="20"/>
          <w:szCs w:val="21"/>
          <w:highlight w:val="none"/>
          <w:lang w:val="en-US" w:eastAsia="zh-CN" w:bidi="ar-SA"/>
        </w:rPr>
      </w:pPr>
    </w:p>
    <w:p>
      <w:pPr>
        <w:spacing w:line="360" w:lineRule="auto"/>
        <w:ind w:left="0" w:leftChars="0" w:firstLine="0" w:firstLineChars="0"/>
        <w:jc w:val="center"/>
        <w:outlineLvl w:val="0"/>
        <w:rPr>
          <w:rFonts w:hint="eastAsia"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一般公共预算</w:t>
      </w:r>
      <w:r>
        <w:rPr>
          <w:rFonts w:hint="eastAsia" w:ascii="方正小标宋简体" w:hAnsi="方正小标宋简体" w:eastAsia="方正小标宋简体" w:cs="方正小标宋简体"/>
          <w:b/>
          <w:bCs/>
          <w:spacing w:val="28"/>
          <w:sz w:val="36"/>
          <w:szCs w:val="36"/>
          <w:highlight w:val="none"/>
          <w:lang w:val="en-US" w:eastAsia="zh-CN"/>
        </w:rPr>
        <w:t>财政拨款</w:t>
      </w:r>
      <w:r>
        <w:rPr>
          <w:rFonts w:hint="eastAsia" w:ascii="方正小标宋简体" w:hAnsi="方正小标宋简体" w:eastAsia="方正小标宋简体" w:cs="方正小标宋简体"/>
          <w:b/>
          <w:bCs/>
          <w:spacing w:val="28"/>
          <w:sz w:val="36"/>
          <w:szCs w:val="36"/>
          <w:highlight w:val="none"/>
        </w:rPr>
        <w:t>基本支出决算</w:t>
      </w:r>
      <w:r>
        <w:rPr>
          <w:rFonts w:hint="eastAsia" w:ascii="方正小标宋简体" w:hAnsi="方正小标宋简体" w:eastAsia="方正小标宋简体" w:cs="方正小标宋简体"/>
          <w:b/>
          <w:bCs/>
          <w:spacing w:val="28"/>
          <w:sz w:val="36"/>
          <w:szCs w:val="36"/>
          <w:highlight w:val="none"/>
          <w:lang w:val="en-US" w:eastAsia="zh-CN"/>
        </w:rPr>
        <w:t>明细</w:t>
      </w:r>
      <w:r>
        <w:rPr>
          <w:rFonts w:hint="eastAsia" w:ascii="方正小标宋简体" w:hAnsi="方正小标宋简体" w:eastAsia="方正小标宋简体" w:cs="方正小标宋简体"/>
          <w:b/>
          <w:bCs/>
          <w:spacing w:val="28"/>
          <w:sz w:val="36"/>
          <w:szCs w:val="36"/>
          <w:highlight w:val="none"/>
        </w:rPr>
        <w:t>表</w:t>
      </w:r>
    </w:p>
    <w:tbl>
      <w:tblPr>
        <w:tblStyle w:val="11"/>
        <w:tblW w:w="137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2"/>
        <w:gridCol w:w="1850"/>
        <w:gridCol w:w="667"/>
        <w:gridCol w:w="1116"/>
        <w:gridCol w:w="1785"/>
        <w:gridCol w:w="479"/>
        <w:gridCol w:w="1116"/>
        <w:gridCol w:w="670"/>
        <w:gridCol w:w="384"/>
        <w:gridCol w:w="3002"/>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85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66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11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264"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11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054"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00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66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49"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部门单位：</w:t>
            </w:r>
          </w:p>
        </w:tc>
        <w:tc>
          <w:tcPr>
            <w:tcW w:w="2901"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265"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4664"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金额单位：万元</w:t>
            </w:r>
          </w:p>
        </w:tc>
      </w:tr>
    </w:tbl>
    <w:p>
      <w:pPr>
        <w:rPr>
          <w:highlight w:val="none"/>
        </w:rPr>
      </w:pPr>
    </w:p>
    <w:tbl>
      <w:tblPr>
        <w:tblStyle w:val="11"/>
        <w:tblW w:w="137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2"/>
        <w:gridCol w:w="1850"/>
        <w:gridCol w:w="873"/>
        <w:gridCol w:w="1128"/>
        <w:gridCol w:w="2214"/>
        <w:gridCol w:w="948"/>
        <w:gridCol w:w="1054"/>
        <w:gridCol w:w="3002"/>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37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人员经费</w:t>
            </w:r>
          </w:p>
        </w:tc>
        <w:tc>
          <w:tcPr>
            <w:tcW w:w="1000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10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科目编码</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决算数</w:t>
            </w:r>
          </w:p>
        </w:tc>
        <w:tc>
          <w:tcPr>
            <w:tcW w:w="11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科目编码</w:t>
            </w:r>
          </w:p>
        </w:tc>
        <w:tc>
          <w:tcPr>
            <w:tcW w:w="2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决算数</w:t>
            </w:r>
          </w:p>
        </w:tc>
        <w:tc>
          <w:tcPr>
            <w:tcW w:w="10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科目编码</w:t>
            </w:r>
          </w:p>
        </w:tc>
        <w:tc>
          <w:tcPr>
            <w:tcW w:w="3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103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850"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73"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128"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21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48"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5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002"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w:t>
            </w:r>
          </w:p>
        </w:tc>
        <w:tc>
          <w:tcPr>
            <w:tcW w:w="185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工资福利支出</w:t>
            </w:r>
          </w:p>
        </w:tc>
        <w:tc>
          <w:tcPr>
            <w:tcW w:w="8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w:t>
            </w:r>
          </w:p>
        </w:tc>
        <w:tc>
          <w:tcPr>
            <w:tcW w:w="221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商品和服务支出</w:t>
            </w:r>
          </w:p>
        </w:tc>
        <w:tc>
          <w:tcPr>
            <w:tcW w:w="94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w:t>
            </w:r>
          </w:p>
        </w:tc>
        <w:tc>
          <w:tcPr>
            <w:tcW w:w="300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债务利息及费用支出</w:t>
            </w:r>
          </w:p>
        </w:tc>
        <w:tc>
          <w:tcPr>
            <w:tcW w:w="166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30101</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基本工资</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30201</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办公费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30701</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国内债务付息</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30102</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津贴补贴</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30202</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印刷费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30702</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国外债务付息</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30103</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奖金</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30203</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咨询费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30704</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国内债务发行费用</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30106</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伙食补助费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30204</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手续费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资本性支出</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30107</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绩效工资</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30205</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水费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31001</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房屋建筑物购建</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30108</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机关事业单位基本养老保险缴费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30206</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电费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31002</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办公设备购置</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30109</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职业年金缴费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30207</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邮电费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31003</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专用设备购置</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30110</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职工基本医疗保险缴费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30208</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取暖费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31005</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基础设施建设</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30111</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公务员医疗补助缴费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30209</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物业管理费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31006</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大型修缮</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30112</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其他社会保障缴费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30211</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差旅费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31007</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信息网络及软件购置更新</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30113</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住房公积金</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30212</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因公出国（境）费用</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31008</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物资储备</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30114</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医疗费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30213</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维修（护）费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31009</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土地补偿</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30199</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其他工资福利支出</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30214</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租赁费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31010</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安置补助</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对个人和家庭的补助</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30215</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会议费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31011</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地上附着物和青苗补偿</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30301</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离休费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30216</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培训费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31012</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拆迁补偿</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30302</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退休费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30217</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公务接待费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31013</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公务用车购置</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30303</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退职（役）费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30218</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专用材料费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31019</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其他交通工具购置</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30304</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抚恤金</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30224</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被装购置费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31021</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文物和陈列品购置</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30305</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生活补助</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30225</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专用燃料费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31022</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无形资产购置</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30306</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救济费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30226</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劳务费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31099</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其他资本性支出</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30307</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医疗费补助</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30227</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委托业务费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312</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对企业补助</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30308</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助学金</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30228</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工会经费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31204</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费用补贴</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30309</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奖励金</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30229</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福利费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31299</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其他对企业补助</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30310</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个人农业生产补贴</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30231</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公务用车运行维护费</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399</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其他支出</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30311</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代缴社会保险费</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30239</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其他交通费用</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39906</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赠与</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30399</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其他对个人和家庭的补助</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30240</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税金及附加费用</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39907</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国家赔偿费用支出</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185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8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30299</w:t>
            </w:r>
          </w:p>
        </w:tc>
        <w:tc>
          <w:tcPr>
            <w:tcW w:w="2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其他商品和服务支出</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39908</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对民间非营利组织和群众性自治组织补贴</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185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8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221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39999</w:t>
            </w:r>
          </w:p>
        </w:tc>
        <w:tc>
          <w:tcPr>
            <w:tcW w:w="3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其他支出</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9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人员经费合计</w:t>
            </w: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405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公用经费合计</w:t>
            </w:r>
          </w:p>
        </w:tc>
        <w:tc>
          <w:tcPr>
            <w:tcW w:w="1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bl>
    <w:p>
      <w:pPr>
        <w:ind w:left="224"/>
        <w:rPr>
          <w:rFonts w:hint="eastAsia" w:ascii="宋体" w:eastAsia="宋体"/>
          <w:w w:val="95"/>
          <w:sz w:val="20"/>
          <w:highlight w:val="none"/>
        </w:rPr>
      </w:pPr>
    </w:p>
    <w:p>
      <w:pPr>
        <w:ind w:left="224"/>
        <w:rPr>
          <w:rFonts w:ascii="宋体" w:eastAsia="宋体"/>
          <w:sz w:val="20"/>
          <w:highlight w:val="none"/>
        </w:rPr>
      </w:pPr>
      <w:r>
        <w:rPr>
          <w:rFonts w:hint="eastAsia" w:ascii="宋体" w:eastAsia="宋体"/>
          <w:w w:val="95"/>
          <w:sz w:val="20"/>
          <w:highlight w:val="none"/>
        </w:rPr>
        <w:t>注：一般公共预算基本支出表公开到经济性质分类款级科目。</w:t>
      </w:r>
    </w:p>
    <w:p>
      <w:pPr>
        <w:rPr>
          <w:rFonts w:ascii="宋体" w:eastAsia="宋体"/>
          <w:sz w:val="20"/>
          <w:highlight w:val="none"/>
        </w:rPr>
        <w:sectPr>
          <w:pgSz w:w="16840" w:h="11910" w:orient="landscape"/>
          <w:pgMar w:top="1100" w:right="1134" w:bottom="280" w:left="1134" w:header="720" w:footer="720" w:gutter="0"/>
          <w:pgNumType w:fmt="numberInDash"/>
          <w:cols w:space="720" w:num="1"/>
        </w:sectPr>
      </w:pPr>
    </w:p>
    <w:p>
      <w:pPr>
        <w:bidi w:val="0"/>
        <w:rPr>
          <w:rFonts w:hint="eastAsia"/>
          <w:highlight w:val="none"/>
        </w:rPr>
      </w:pPr>
    </w:p>
    <w:p>
      <w:pPr>
        <w:bidi w:val="0"/>
        <w:rPr>
          <w:rFonts w:hint="eastAsia"/>
          <w:highlight w:val="none"/>
        </w:rPr>
      </w:pPr>
    </w:p>
    <w:p>
      <w:pPr>
        <w:widowControl w:val="0"/>
        <w:spacing w:before="3" w:after="120"/>
        <w:ind w:firstLine="480"/>
        <w:jc w:val="both"/>
        <w:rPr>
          <w:rFonts w:ascii="宋体" w:hAnsi="Times New Roman" w:eastAsia="Courier New" w:cs="Times New Roman"/>
          <w:kern w:val="2"/>
          <w:sz w:val="24"/>
          <w:szCs w:val="21"/>
          <w:highlight w:val="none"/>
          <w:lang w:val="en-US" w:eastAsia="zh-CN" w:bidi="ar-SA"/>
        </w:rPr>
      </w:pPr>
    </w:p>
    <w:p>
      <w:pPr>
        <w:spacing w:line="360" w:lineRule="auto"/>
        <w:ind w:left="0" w:leftChars="0" w:right="0" w:rightChars="0" w:firstLine="0" w:firstLineChars="0"/>
        <w:jc w:val="center"/>
        <w:outlineLvl w:val="0"/>
        <w:rPr>
          <w:rFonts w:eastAsia="黑体" w:cs="黑体"/>
          <w:b/>
          <w:bCs/>
          <w:sz w:val="32"/>
          <w:szCs w:val="36"/>
          <w:highlight w:val="none"/>
        </w:rPr>
      </w:pPr>
      <w:r>
        <w:rPr>
          <w:rFonts w:hint="eastAsia" w:ascii="方正小标宋简体" w:hAnsi="方正小标宋简体" w:eastAsia="方正小标宋简体" w:cs="方正小标宋简体"/>
          <w:b/>
          <w:bCs/>
          <w:spacing w:val="28"/>
          <w:sz w:val="36"/>
          <w:szCs w:val="36"/>
          <w:highlight w:val="none"/>
        </w:rPr>
        <w:t>政府性基金预算</w:t>
      </w:r>
      <w:r>
        <w:rPr>
          <w:rFonts w:hint="eastAsia" w:ascii="方正小标宋简体" w:hAnsi="方正小标宋简体" w:eastAsia="方正小标宋简体" w:cs="方正小标宋简体"/>
          <w:b/>
          <w:bCs/>
          <w:spacing w:val="28"/>
          <w:sz w:val="36"/>
          <w:szCs w:val="36"/>
          <w:highlight w:val="none"/>
          <w:lang w:val="en-US" w:eastAsia="zh-CN"/>
        </w:rPr>
        <w:t>财政拨款收入</w:t>
      </w:r>
      <w:r>
        <w:rPr>
          <w:rFonts w:hint="eastAsia" w:ascii="方正小标宋简体" w:hAnsi="方正小标宋简体" w:eastAsia="方正小标宋简体" w:cs="方正小标宋简体"/>
          <w:b/>
          <w:bCs/>
          <w:spacing w:val="28"/>
          <w:sz w:val="36"/>
          <w:szCs w:val="36"/>
          <w:highlight w:val="none"/>
        </w:rPr>
        <w:t>支出决算表</w:t>
      </w:r>
    </w:p>
    <w:tbl>
      <w:tblPr>
        <w:tblStyle w:val="11"/>
        <w:tblW w:w="12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2"/>
        <w:gridCol w:w="227"/>
        <w:gridCol w:w="240"/>
        <w:gridCol w:w="1733"/>
        <w:gridCol w:w="1094"/>
        <w:gridCol w:w="1128"/>
        <w:gridCol w:w="657"/>
        <w:gridCol w:w="1025"/>
        <w:gridCol w:w="1122"/>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92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2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4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73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09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12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65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02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12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14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89" w:type="dxa"/>
            <w:gridSpan w:val="3"/>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2"/>
                <w:szCs w:val="22"/>
                <w:highlight w:val="none"/>
                <w:u w:val="none"/>
                <w:lang w:val="en-US" w:eastAsia="zh-CN" w:bidi="ar"/>
              </w:rPr>
              <w:t>部门（单位）：</w:t>
            </w:r>
          </w:p>
        </w:tc>
        <w:tc>
          <w:tcPr>
            <w:tcW w:w="1733"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094"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128"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657"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025"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122"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149" w:type="dxa"/>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12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109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年初结转和结余</w:t>
            </w:r>
          </w:p>
        </w:tc>
        <w:tc>
          <w:tcPr>
            <w:tcW w:w="112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本年收入</w:t>
            </w:r>
          </w:p>
        </w:tc>
        <w:tc>
          <w:tcPr>
            <w:tcW w:w="280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本年支出</w:t>
            </w:r>
          </w:p>
        </w:tc>
        <w:tc>
          <w:tcPr>
            <w:tcW w:w="214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8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功能分类科目编码</w:t>
            </w:r>
          </w:p>
        </w:tc>
        <w:tc>
          <w:tcPr>
            <w:tcW w:w="1733"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12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5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小计</w:t>
            </w:r>
          </w:p>
        </w:tc>
        <w:tc>
          <w:tcPr>
            <w:tcW w:w="10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基本支出</w:t>
            </w:r>
          </w:p>
        </w:tc>
        <w:tc>
          <w:tcPr>
            <w:tcW w:w="112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项目支出</w:t>
            </w:r>
          </w:p>
        </w:tc>
        <w:tc>
          <w:tcPr>
            <w:tcW w:w="214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8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33"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0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12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5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12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14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8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33"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0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12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5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12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14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512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栏次</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1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2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1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2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1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c>
          <w:tcPr>
            <w:tcW w:w="2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12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val="0"/>
                <w:bCs w:val="0"/>
                <w:i w:val="0"/>
                <w:iCs w:val="0"/>
                <w:color w:val="000000"/>
                <w:sz w:val="20"/>
                <w:szCs w:val="20"/>
                <w:highlight w:val="none"/>
                <w:u w:val="none"/>
                <w:lang w:val="en-US" w:eastAsia="zh-CN"/>
              </w:rPr>
            </w:pPr>
            <w:r>
              <w:rPr>
                <w:rFonts w:hint="eastAsia" w:ascii="宋体" w:hAnsi="宋体" w:eastAsia="宋体" w:cs="宋体"/>
                <w:b w:val="0"/>
                <w:bCs w:val="0"/>
                <w:i w:val="0"/>
                <w:iCs w:val="0"/>
                <w:color w:val="000000"/>
                <w:sz w:val="20"/>
                <w:szCs w:val="20"/>
                <w:highlight w:val="none"/>
                <w:u w:val="none"/>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val="0"/>
                <w:bCs w:val="0"/>
                <w:i w:val="0"/>
                <w:iCs w:val="0"/>
                <w:color w:val="000000"/>
                <w:sz w:val="20"/>
                <w:szCs w:val="20"/>
                <w:highlight w:val="none"/>
                <w:u w:val="none"/>
                <w:lang w:val="en-US" w:eastAsia="zh-CN"/>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val="0"/>
                <w:bCs w:val="0"/>
                <w:i w:val="0"/>
                <w:iCs w:val="0"/>
                <w:color w:val="000000"/>
                <w:sz w:val="20"/>
                <w:szCs w:val="20"/>
                <w:highlight w:val="none"/>
                <w:u w:val="none"/>
                <w:lang w:val="en-US" w:eastAsia="zh-CN"/>
              </w:rPr>
              <w:t>0.00</w:t>
            </w:r>
          </w:p>
        </w:tc>
        <w:tc>
          <w:tcPr>
            <w:tcW w:w="1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val="0"/>
                <w:bCs w:val="0"/>
                <w:i w:val="0"/>
                <w:iCs w:val="0"/>
                <w:color w:val="000000"/>
                <w:sz w:val="20"/>
                <w:szCs w:val="20"/>
                <w:highlight w:val="none"/>
                <w:u w:val="none"/>
                <w:lang w:val="en-US" w:eastAsia="zh-CN"/>
              </w:rPr>
              <w:t>0.00</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val="0"/>
                <w:bCs w:val="0"/>
                <w:i w:val="0"/>
                <w:iCs w:val="0"/>
                <w:color w:val="000000"/>
                <w:sz w:val="20"/>
                <w:szCs w:val="20"/>
                <w:highlight w:val="none"/>
                <w:u w:val="none"/>
                <w:lang w:val="en-US" w:eastAsia="zh-CN"/>
              </w:rPr>
              <w:t>0.00</w:t>
            </w:r>
          </w:p>
        </w:tc>
        <w:tc>
          <w:tcPr>
            <w:tcW w:w="2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val="0"/>
                <w:bCs w:val="0"/>
                <w:i w:val="0"/>
                <w:iCs w:val="0"/>
                <w:color w:val="000000"/>
                <w:sz w:val="20"/>
                <w:szCs w:val="20"/>
                <w:highlight w:val="none"/>
                <w:u w:val="none"/>
                <w:lang w:val="en-US" w:eastAsia="zh-CN"/>
              </w:rPr>
              <w:t>0.00</w:t>
            </w:r>
          </w:p>
        </w:tc>
      </w:tr>
    </w:tbl>
    <w:p>
      <w:pPr>
        <w:spacing w:before="143"/>
        <w:ind w:left="217"/>
        <w:rPr>
          <w:rFonts w:hint="eastAsia" w:ascii="宋体" w:eastAsia="宋体"/>
          <w:w w:val="95"/>
          <w:sz w:val="20"/>
          <w:highlight w:val="none"/>
        </w:rPr>
      </w:pPr>
    </w:p>
    <w:p>
      <w:pPr>
        <w:spacing w:before="143"/>
        <w:ind w:left="217"/>
        <w:rPr>
          <w:rFonts w:hint="eastAsia" w:ascii="宋体" w:eastAsia="宋体"/>
          <w:w w:val="95"/>
          <w:sz w:val="20"/>
          <w:highlight w:val="none"/>
        </w:rPr>
      </w:pPr>
      <w:r>
        <w:rPr>
          <w:rFonts w:hint="eastAsia" w:ascii="宋体" w:eastAsia="宋体"/>
          <w:w w:val="95"/>
          <w:sz w:val="20"/>
          <w:highlight w:val="none"/>
        </w:rPr>
        <w:t>注：本表反映本年度政府性基金预算财政拨款支出情况。本表金额单位转换时可能存在尾数误差。</w:t>
      </w:r>
    </w:p>
    <w:p>
      <w:pPr>
        <w:spacing w:before="143"/>
        <w:ind w:left="217"/>
        <w:rPr>
          <w:rFonts w:hint="eastAsia" w:ascii="宋体" w:eastAsia="宋体"/>
          <w:sz w:val="20"/>
          <w:highlight w:val="none"/>
          <w:lang w:eastAsia="zh-CN"/>
        </w:rPr>
      </w:pPr>
      <w:r>
        <w:rPr>
          <w:rFonts w:hint="eastAsia" w:ascii="宋体" w:eastAsia="宋体"/>
          <w:w w:val="95"/>
          <w:sz w:val="20"/>
          <w:highlight w:val="none"/>
          <w:lang w:eastAsia="zh-CN"/>
        </w:rPr>
        <w:t>注：政府性基金预算支出决算表如为空表，合计数需填“0”，并且在表的下方说明“无政府性基金预算财政拨款收入支出，本表为空表”。</w:t>
      </w:r>
    </w:p>
    <w:p>
      <w:pPr>
        <w:rPr>
          <w:rFonts w:ascii="宋体" w:eastAsia="宋体"/>
          <w:sz w:val="20"/>
          <w:highlight w:val="none"/>
        </w:rPr>
        <w:sectPr>
          <w:pgSz w:w="16840" w:h="11910" w:orient="landscape"/>
          <w:pgMar w:top="1134" w:right="1700" w:bottom="1134" w:left="1720" w:header="720" w:footer="720" w:gutter="0"/>
          <w:pgNumType w:fmt="numberInDash"/>
          <w:cols w:space="720" w:num="1"/>
        </w:sectPr>
      </w:pPr>
    </w:p>
    <w:p>
      <w:pPr>
        <w:widowControl w:val="0"/>
        <w:spacing w:after="120"/>
        <w:ind w:firstLine="400"/>
        <w:jc w:val="both"/>
        <w:rPr>
          <w:rFonts w:ascii="宋体" w:hAnsi="Times New Roman" w:eastAsia="Courier New" w:cs="Times New Roman"/>
          <w:kern w:val="2"/>
          <w:sz w:val="20"/>
          <w:szCs w:val="21"/>
          <w:highlight w:val="none"/>
          <w:lang w:val="en-US" w:eastAsia="zh-CN" w:bidi="ar-SA"/>
        </w:rPr>
      </w:pPr>
    </w:p>
    <w:p>
      <w:pPr>
        <w:widowControl w:val="0"/>
        <w:spacing w:after="120"/>
        <w:ind w:firstLine="400"/>
        <w:jc w:val="both"/>
        <w:rPr>
          <w:rFonts w:ascii="宋体" w:hAnsi="Times New Roman" w:eastAsia="Courier New" w:cs="Times New Roman"/>
          <w:kern w:val="2"/>
          <w:sz w:val="20"/>
          <w:szCs w:val="21"/>
          <w:highlight w:val="none"/>
          <w:lang w:val="en-US" w:eastAsia="zh-CN" w:bidi="ar-SA"/>
        </w:rPr>
      </w:pPr>
    </w:p>
    <w:p>
      <w:pPr>
        <w:spacing w:line="360" w:lineRule="auto"/>
        <w:ind w:left="0" w:leftChars="0" w:firstLine="0" w:firstLineChars="0"/>
        <w:jc w:val="center"/>
        <w:outlineLvl w:val="0"/>
        <w:rPr>
          <w:rFonts w:hint="eastAsia"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国有资本经营预算</w:t>
      </w:r>
      <w:r>
        <w:rPr>
          <w:rFonts w:hint="eastAsia" w:ascii="方正小标宋简体" w:hAnsi="方正小标宋简体" w:eastAsia="方正小标宋简体" w:cs="方正小标宋简体"/>
          <w:b/>
          <w:bCs/>
          <w:spacing w:val="28"/>
          <w:sz w:val="36"/>
          <w:szCs w:val="36"/>
          <w:highlight w:val="none"/>
          <w:lang w:val="en-US" w:eastAsia="zh-CN"/>
        </w:rPr>
        <w:t>财政拨款</w:t>
      </w:r>
      <w:r>
        <w:rPr>
          <w:rFonts w:hint="eastAsia" w:ascii="方正小标宋简体" w:hAnsi="方正小标宋简体" w:eastAsia="方正小标宋简体" w:cs="方正小标宋简体"/>
          <w:b/>
          <w:bCs/>
          <w:spacing w:val="28"/>
          <w:sz w:val="36"/>
          <w:szCs w:val="36"/>
          <w:highlight w:val="none"/>
        </w:rPr>
        <w:t>支出决算表</w:t>
      </w:r>
    </w:p>
    <w:tbl>
      <w:tblPr>
        <w:tblStyle w:val="11"/>
        <w:tblW w:w="11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303"/>
        <w:gridCol w:w="303"/>
        <w:gridCol w:w="1220"/>
        <w:gridCol w:w="2538"/>
        <w:gridCol w:w="1220"/>
        <w:gridCol w:w="1220"/>
        <w:gridCol w:w="1220"/>
        <w:gridCol w:w="1220"/>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22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53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22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22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22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22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75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部门：</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538"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22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2538"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年初结转和结余</w:t>
            </w:r>
          </w:p>
        </w:tc>
        <w:tc>
          <w:tcPr>
            <w:tcW w:w="122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本年收入</w:t>
            </w:r>
          </w:p>
        </w:tc>
        <w:tc>
          <w:tcPr>
            <w:tcW w:w="366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本年支出</w:t>
            </w:r>
          </w:p>
        </w:tc>
        <w:tc>
          <w:tcPr>
            <w:tcW w:w="175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8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2538"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2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12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基本支出</w:t>
            </w:r>
          </w:p>
        </w:tc>
        <w:tc>
          <w:tcPr>
            <w:tcW w:w="12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项目支出</w:t>
            </w:r>
          </w:p>
        </w:tc>
        <w:tc>
          <w:tcPr>
            <w:tcW w:w="175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8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538"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2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5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8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538"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2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5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栏次</w:t>
            </w:r>
          </w:p>
        </w:tc>
        <w:tc>
          <w:tcPr>
            <w:tcW w:w="25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5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2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5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2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25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2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bl>
    <w:p>
      <w:pPr>
        <w:widowControl w:val="0"/>
        <w:spacing w:after="120"/>
        <w:jc w:val="both"/>
        <w:rPr>
          <w:rFonts w:ascii="宋体" w:hAnsi="Times New Roman" w:eastAsia="Courier New" w:cs="Times New Roman"/>
          <w:kern w:val="2"/>
          <w:sz w:val="20"/>
          <w:szCs w:val="21"/>
          <w:highlight w:val="none"/>
          <w:lang w:val="en-US" w:eastAsia="zh-CN" w:bidi="ar-SA"/>
        </w:rPr>
      </w:pPr>
    </w:p>
    <w:p>
      <w:pPr>
        <w:spacing w:before="143"/>
        <w:ind w:left="217"/>
        <w:rPr>
          <w:rFonts w:hint="eastAsia" w:ascii="宋体" w:eastAsia="宋体"/>
          <w:w w:val="95"/>
          <w:sz w:val="20"/>
          <w:highlight w:val="none"/>
        </w:rPr>
      </w:pPr>
      <w:r>
        <w:rPr>
          <w:rFonts w:hint="eastAsia" w:ascii="宋体" w:eastAsia="宋体"/>
          <w:w w:val="95"/>
          <w:sz w:val="20"/>
          <w:highlight w:val="none"/>
        </w:rPr>
        <w:t>注：本表反映本年度政府性基金预算财政拨款支出情况。本表金额单位转换时可能存在尾数误差。</w:t>
      </w:r>
    </w:p>
    <w:p>
      <w:pPr>
        <w:spacing w:before="143"/>
        <w:ind w:left="217"/>
        <w:rPr>
          <w:rFonts w:hint="eastAsia" w:ascii="宋体" w:eastAsia="宋体"/>
          <w:sz w:val="20"/>
          <w:highlight w:val="none"/>
          <w:lang w:eastAsia="zh-CN"/>
        </w:rPr>
      </w:pPr>
      <w:r>
        <w:rPr>
          <w:rFonts w:hint="eastAsia" w:ascii="宋体" w:eastAsia="宋体"/>
          <w:w w:val="95"/>
          <w:sz w:val="20"/>
          <w:highlight w:val="none"/>
          <w:lang w:eastAsia="zh-CN"/>
        </w:rPr>
        <w:t>注：国有资本经营预算财政拨款支出决算表如为空表，合计数需填“0”，并且在表的下方说明“无国有资本经营预算财政拨款支出，本表为空表”。</w:t>
      </w:r>
    </w:p>
    <w:p>
      <w:pPr>
        <w:rPr>
          <w:rFonts w:ascii="宋体" w:eastAsia="宋体"/>
          <w:sz w:val="20"/>
          <w:highlight w:val="none"/>
        </w:rPr>
      </w:pPr>
    </w:p>
    <w:p>
      <w:pPr>
        <w:keepNext w:val="0"/>
        <w:keepLines w:val="0"/>
        <w:pageBreakBefore/>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lang w:val="en-US" w:eastAsia="zh-CN"/>
        </w:rPr>
        <w:t>财政拨款</w:t>
      </w:r>
      <w:r>
        <w:rPr>
          <w:rFonts w:hint="eastAsia" w:ascii="方正小标宋简体" w:hAnsi="方正小标宋简体" w:eastAsia="方正小标宋简体" w:cs="方正小标宋简体"/>
          <w:b/>
          <w:bCs/>
          <w:spacing w:val="28"/>
          <w:sz w:val="36"/>
          <w:szCs w:val="36"/>
          <w:highlight w:val="none"/>
        </w:rPr>
        <w:t>“三公”经费支出决算表</w:t>
      </w:r>
    </w:p>
    <w:tbl>
      <w:tblPr>
        <w:tblStyle w:val="11"/>
        <w:tblW w:w="131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5"/>
        <w:gridCol w:w="878"/>
        <w:gridCol w:w="1881"/>
        <w:gridCol w:w="1881"/>
        <w:gridCol w:w="1881"/>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70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87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88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88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88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88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70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部门（单位）：***</w:t>
            </w:r>
          </w:p>
        </w:tc>
        <w:tc>
          <w:tcPr>
            <w:tcW w:w="878"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88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88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88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881" w:type="dxa"/>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  目</w:t>
            </w:r>
          </w:p>
        </w:tc>
        <w:tc>
          <w:tcPr>
            <w:tcW w:w="878"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行次</w:t>
            </w:r>
          </w:p>
        </w:tc>
        <w:tc>
          <w:tcPr>
            <w:tcW w:w="376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财政拨款</w:t>
            </w:r>
          </w:p>
        </w:tc>
        <w:tc>
          <w:tcPr>
            <w:tcW w:w="376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其中：一般公共预算财政拨款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78"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预算数</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支出统计数</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预算数</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栏  次</w:t>
            </w:r>
          </w:p>
        </w:tc>
        <w:tc>
          <w:tcPr>
            <w:tcW w:w="878"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一、“三公”经费支出</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（一）支出合计</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1．因公出国（境）费</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2．公务用车购置及运行维护费</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（1）公务用车购置费</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（2）公务用车运行维护费</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3．公务接待费</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（1）国内接待费</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其中：外事接待费</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（2）国（境）外接待费</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（二）相关统计数</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1．因公出国（境）团组数（个）</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2．因公出国（境）人次数（人）</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3．公务用车购置数（辆）</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4．公务用车保有量（辆）</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5．国内公务接待批次（个）</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其中：外事接待批次（个）</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6．国内公务接待人次（人）</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其中：外事接待人次（人）</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7．国（境）外公务接待批次（个）</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8．国（境）外公务接待人次（人）</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bl>
    <w:p>
      <w:pPr>
        <w:spacing w:before="50"/>
        <w:ind w:left="224"/>
        <w:rPr>
          <w:rFonts w:hint="eastAsia" w:ascii="宋体" w:eastAsia="宋体"/>
          <w:w w:val="95"/>
          <w:sz w:val="20"/>
          <w:highlight w:val="none"/>
          <w:lang w:eastAsia="zh-CN"/>
        </w:rPr>
      </w:pPr>
      <w:r>
        <w:rPr>
          <w:rFonts w:hint="eastAsia" w:ascii="宋体" w:eastAsia="宋体"/>
          <w:w w:val="95"/>
          <w:sz w:val="20"/>
          <w:highlight w:val="none"/>
          <w:lang w:eastAsia="zh-CN"/>
        </w:rPr>
        <w:t>注：一般公共预算财政拨款“三公”经费支出决算表如为空表，合计数需填“0”，并且在表的下方说明“无一般公共预算财政拨款“三公”经费支出，本表为空表”。</w:t>
      </w:r>
    </w:p>
    <w:p>
      <w:pPr>
        <w:spacing w:before="50"/>
        <w:ind w:left="224"/>
        <w:rPr>
          <w:rFonts w:hint="eastAsia" w:ascii="宋体" w:eastAsia="宋体"/>
          <w:sz w:val="20"/>
          <w:highlight w:val="none"/>
          <w:lang w:eastAsia="zh-CN"/>
        </w:rPr>
      </w:pPr>
      <w:r>
        <w:rPr>
          <w:rFonts w:hint="eastAsia" w:ascii="宋体" w:eastAsia="宋体"/>
          <w:w w:val="95"/>
          <w:sz w:val="20"/>
          <w:highlight w:val="none"/>
          <w:lang w:eastAsia="zh-CN"/>
        </w:rPr>
        <w:t>注：</w:t>
      </w:r>
      <w:r>
        <w:rPr>
          <w:rFonts w:hint="eastAsia" w:ascii="宋体" w:eastAsia="宋体"/>
          <w:w w:val="95"/>
          <w:sz w:val="20"/>
          <w:highlight w:val="none"/>
          <w:lang w:val="en-US" w:eastAsia="zh-CN"/>
        </w:rPr>
        <w:t>上述信息要与报告正文信息一致！！重点包括“公务用车保有量”、“公务用车购置数”、“国内公务接待人次”等</w:t>
      </w:r>
      <w:r>
        <w:rPr>
          <w:rFonts w:hint="eastAsia" w:ascii="宋体" w:eastAsia="宋体"/>
          <w:w w:val="95"/>
          <w:sz w:val="20"/>
          <w:highlight w:val="none"/>
          <w:lang w:eastAsia="zh-CN"/>
        </w:rPr>
        <w:t>。</w:t>
      </w:r>
    </w:p>
    <w:p>
      <w:pPr>
        <w:rPr>
          <w:rFonts w:ascii="宋体" w:eastAsia="宋体"/>
          <w:sz w:val="20"/>
          <w:highlight w:val="none"/>
        </w:rPr>
        <w:sectPr>
          <w:pgSz w:w="16840" w:h="11910" w:orient="landscape"/>
          <w:pgMar w:top="1100" w:right="940" w:bottom="280" w:left="940" w:header="720" w:footer="720" w:gutter="0"/>
          <w:pgNumType w:fmt="numberInDash"/>
          <w:cols w:space="720" w:num="1"/>
        </w:sectPr>
      </w:pPr>
    </w:p>
    <w:tbl>
      <w:tblPr>
        <w:tblStyle w:val="11"/>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7"/>
        <w:gridCol w:w="1003"/>
        <w:gridCol w:w="2039"/>
        <w:gridCol w:w="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07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机构运行经费支出、国有资产占用情况及政府采购支出信息表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270" w:hRule="atLeast"/>
          <w:jc w:val="center"/>
        </w:trPr>
        <w:tc>
          <w:tcPr>
            <w:tcW w:w="597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100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03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270" w:hRule="atLeast"/>
          <w:jc w:val="center"/>
        </w:trPr>
        <w:tc>
          <w:tcPr>
            <w:tcW w:w="5977"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部门单位：</w:t>
            </w:r>
          </w:p>
        </w:tc>
        <w:tc>
          <w:tcPr>
            <w:tcW w:w="1003"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039" w:type="dxa"/>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  目</w:t>
            </w:r>
          </w:p>
        </w:tc>
        <w:tc>
          <w:tcPr>
            <w:tcW w:w="1003"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行次</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栏  次</w:t>
            </w:r>
          </w:p>
        </w:tc>
        <w:tc>
          <w:tcPr>
            <w:tcW w:w="1003"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一、机关运行经费</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（一）行政单位</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（二）参照公务员法管理事业单位</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二、资产信息</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（一）车辆数合计（辆）</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1．副部（省）级及以上领导用车</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2．主要领导干部用车</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3．机要通信用车</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4．应急保障用车</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5．执法执勤用车</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6．特种专业技术用车</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7．离退休干部用车</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8．其他用车</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（二）单价50万元（含）以上的通用设备（台、套…）</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（三）单价100万元（含）以上的专用设备（台、套…）</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三、政府采购支出信息</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（一）政府采购支出合计</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1．政府采购货物支出</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2．政府采购工程支出</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3．政府采购服务支出</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（二）政府采购授予中小企业合同金额</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0" w:hRule="atLeast"/>
          <w:jc w:val="center"/>
        </w:trPr>
        <w:tc>
          <w:tcPr>
            <w:tcW w:w="5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其中：授予小微企业合同金额</w:t>
            </w:r>
          </w:p>
        </w:tc>
        <w:tc>
          <w:tcPr>
            <w:tcW w:w="10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2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bl>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注：部门、参公事业单位、其他事业单位依据“公开07表一般公共预算财政拨款基本支出决算明细表”公用经费及合计数填列“一、机关运行经费”。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Arial Unicode MS">
    <w:altName w:val="Nimbus Roman No9 L"/>
    <w:panose1 w:val="020B0604020202020204"/>
    <w:charset w:val="86"/>
    <w:family w:val="swiss"/>
    <w:pitch w:val="default"/>
    <w:sig w:usb0="00000000" w:usb1="00000000" w:usb2="0000003F" w:usb3="00000000" w:csb0="603F01FF" w:csb1="FFFF0000"/>
  </w:font>
  <w:font w:name="仿宋_GB2312">
    <w:altName w:val="方正仿宋_GBK"/>
    <w:panose1 w:val="00000000000000000000"/>
    <w:charset w:val="86"/>
    <w:family w:val="roman"/>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0A02F"/>
    <w:multiLevelType w:val="singleLevel"/>
    <w:tmpl w:val="C380A02F"/>
    <w:lvl w:ilvl="0" w:tentative="0">
      <w:start w:val="7"/>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ZTZiOWNhNTRkM2JiNDQwZWRmZDZjZTIwNDhiY2IifQ=="/>
  </w:docVars>
  <w:rsids>
    <w:rsidRoot w:val="721F74DA"/>
    <w:rsid w:val="045B1761"/>
    <w:rsid w:val="04DE304E"/>
    <w:rsid w:val="05A21435"/>
    <w:rsid w:val="06191FF7"/>
    <w:rsid w:val="08B446D3"/>
    <w:rsid w:val="0B1D50BA"/>
    <w:rsid w:val="0B4120F4"/>
    <w:rsid w:val="0D4E76E0"/>
    <w:rsid w:val="0DF47543"/>
    <w:rsid w:val="0ECE3A69"/>
    <w:rsid w:val="0F5F1D60"/>
    <w:rsid w:val="134A596D"/>
    <w:rsid w:val="15C65DD2"/>
    <w:rsid w:val="15E06015"/>
    <w:rsid w:val="16151E0D"/>
    <w:rsid w:val="17952D86"/>
    <w:rsid w:val="180C6BE2"/>
    <w:rsid w:val="18C51B9B"/>
    <w:rsid w:val="192F0A4D"/>
    <w:rsid w:val="19526FFD"/>
    <w:rsid w:val="1A55504B"/>
    <w:rsid w:val="1A725422"/>
    <w:rsid w:val="1DF74BB6"/>
    <w:rsid w:val="204C30E1"/>
    <w:rsid w:val="229323DA"/>
    <w:rsid w:val="23E12F1F"/>
    <w:rsid w:val="242D292A"/>
    <w:rsid w:val="2685203A"/>
    <w:rsid w:val="27DC212D"/>
    <w:rsid w:val="295D54F0"/>
    <w:rsid w:val="2A5970AD"/>
    <w:rsid w:val="2B4A1AA4"/>
    <w:rsid w:val="2B5244B4"/>
    <w:rsid w:val="2BB90EC9"/>
    <w:rsid w:val="2BD65495"/>
    <w:rsid w:val="2F473BED"/>
    <w:rsid w:val="2F5703F8"/>
    <w:rsid w:val="30402B16"/>
    <w:rsid w:val="32B66840"/>
    <w:rsid w:val="331210F9"/>
    <w:rsid w:val="33C514A3"/>
    <w:rsid w:val="36D43405"/>
    <w:rsid w:val="38A65E3F"/>
    <w:rsid w:val="39677CC5"/>
    <w:rsid w:val="3B7B1805"/>
    <w:rsid w:val="3B815E78"/>
    <w:rsid w:val="426B4382"/>
    <w:rsid w:val="45DD3836"/>
    <w:rsid w:val="47DB7B5B"/>
    <w:rsid w:val="48A619E5"/>
    <w:rsid w:val="4B4770FE"/>
    <w:rsid w:val="4C725688"/>
    <w:rsid w:val="4CCA439B"/>
    <w:rsid w:val="4D4C5F39"/>
    <w:rsid w:val="4DF27705"/>
    <w:rsid w:val="4F9227E2"/>
    <w:rsid w:val="53A5521A"/>
    <w:rsid w:val="53DF1DC3"/>
    <w:rsid w:val="560F1ED5"/>
    <w:rsid w:val="56BE4BDA"/>
    <w:rsid w:val="56CE40B6"/>
    <w:rsid w:val="576553EC"/>
    <w:rsid w:val="59F50F60"/>
    <w:rsid w:val="5B07378C"/>
    <w:rsid w:val="5CE934CC"/>
    <w:rsid w:val="5D720631"/>
    <w:rsid w:val="5DC85BDF"/>
    <w:rsid w:val="5E337FF2"/>
    <w:rsid w:val="5E3478C6"/>
    <w:rsid w:val="5F285A6A"/>
    <w:rsid w:val="60E505E4"/>
    <w:rsid w:val="61840B64"/>
    <w:rsid w:val="61E928EA"/>
    <w:rsid w:val="63B56AF3"/>
    <w:rsid w:val="63DA4F3E"/>
    <w:rsid w:val="64835595"/>
    <w:rsid w:val="65DB6DCF"/>
    <w:rsid w:val="65F84727"/>
    <w:rsid w:val="69C01A71"/>
    <w:rsid w:val="6C28496B"/>
    <w:rsid w:val="70B128F3"/>
    <w:rsid w:val="721F74DA"/>
    <w:rsid w:val="737C5B3F"/>
    <w:rsid w:val="73A155A6"/>
    <w:rsid w:val="73CC7673"/>
    <w:rsid w:val="73F77F00"/>
    <w:rsid w:val="740022CC"/>
    <w:rsid w:val="76D77EFA"/>
    <w:rsid w:val="770245AD"/>
    <w:rsid w:val="78B10039"/>
    <w:rsid w:val="79924958"/>
    <w:rsid w:val="79BA03EA"/>
    <w:rsid w:val="7A1042D6"/>
    <w:rsid w:val="7AF8020F"/>
    <w:rsid w:val="7B194D72"/>
    <w:rsid w:val="7C602678"/>
    <w:rsid w:val="7D7B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4"/>
    <w:basedOn w:val="1"/>
    <w:next w:val="1"/>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7">
    <w:name w:val="annotation text"/>
    <w:basedOn w:val="1"/>
    <w:qFormat/>
    <w:uiPriority w:val="0"/>
    <w:pPr>
      <w:jc w:val="left"/>
    </w:pPr>
  </w:style>
  <w:style w:type="paragraph" w:styleId="8">
    <w:name w:val="Body Text"/>
    <w:basedOn w:val="1"/>
    <w:unhideWhenUsed/>
    <w:qFormat/>
    <w:uiPriority w:val="1"/>
    <w:pPr>
      <w:spacing w:after="1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11329</Words>
  <Characters>12216</Characters>
  <Lines>0</Lines>
  <Paragraphs>0</Paragraphs>
  <TotalTime>17</TotalTime>
  <ScaleCrop>false</ScaleCrop>
  <LinksUpToDate>false</LinksUpToDate>
  <CharactersWithSpaces>13425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2022-04-18T15:38:00Z</dcterms:created>
  <dc:creator>lx</dc:creator>
  <cp:lastModifiedBy>inspur</cp:lastModifiedBy>
  <cp:lastPrinted>2022-12-09T10:20:00Z</cp:lastPrinted>
  <dcterms:modified xsi:type="dcterms:W3CDTF">2022-12-16T10:34:00Z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E542F50C10AF4D369FF09B0DCDA8D75D</vt:lpwstr>
  </property>
  <property fmtid="{D5CDD505-2E9C-101B-9397-08002B2CF9AE}" pid="4" name="commondata">
    <vt:lpwstr>eyJoZGlkIjoiZmEzYTMxZTZlY2RkYmM2OGE2OTMwYzRjOTIyMWJjMDAifQ==</vt:lpwstr>
  </property>
</Properties>
</file>